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godz.,
b)	ćwiczenia – 30 godz.,
c)	konsultacje – 10 godz.
2.	Praca własna studenta – 55 godzin, w tym:
a)	 10 godz. - przygotowywanie się studenta do ćwiczeń,
b)	15 godz - zadania domowe (wykonanie projektu),
c)	15 godz - przygotowanie się do kolokwiów,
d)	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 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																					Student wie jak rozwiązywać proste problemy z zakresu mechaniki niutonowskiej.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																					Student wie jak wykorzystać rachunek różniczkowy i całkowy	w zagadnieniach kinematyki i dynamiki.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																					Student zna zakres stosowalności kinematyki i dynamiki niutonowskiej. Zna paradygmat tej dyscypliny.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NW115_K1: </w:t>
      </w:r>
    </w:p>
    <w:p>
      <w:pPr/>
      <w:r>
        <w:rPr/>
        <w:t xml:space="preserve">																					Student umie komunikować się w zakresie dotyczącym kinematyki i dynamiki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2026-05-30T07:00:44+02:00</dcterms:created>
  <dcterms:modified xsi:type="dcterms:W3CDTF">2026-05-30T07:00:44+02:00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