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ML.NS735_W1: </w:t>
      </w:r>
    </w:p>
    <w:p>
      <w:pPr/>
      <w:r>
        <w:rPr/>
        <w:t xml:space="preserve">Ma podstawową wiedzę o pompach wirowych, sposobach ich regulacji/sterowania, napędach, układach pompowych oraz pracy pompy w układzie.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ML.NS735_U2: </w:t>
      </w:r>
    </w:p>
    <w:p>
      <w:pPr/>
      <w:r>
        <w:rPr/>
        <w:t xml:space="preserve">Potrafi oszacować całkowitą sprawność przetłaczania cieczy w określonej instalacji oraz ocenić jej wartość.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ML.NS735_K1: </w:t>
      </w:r>
    </w:p>
    <w:p>
      <w:pPr/>
      <w:r>
        <w:rPr/>
        <w:t xml:space="preserve">Jest świadom wpływu energochłonności transportu cieczy na zużycie paliw kopalnych.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ML.NS735_K2: </w:t>
      </w:r>
    </w:p>
    <w:p>
      <w:pPr/>
      <w:r>
        <w:rPr/>
        <w:t xml:space="preserve">Jest świadom skutków awarii układu pompowego dla środowiska naturalnego.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2025-12-28T22:03:38+01:00</dcterms:created>
  <dcterms:modified xsi:type="dcterms:W3CDTF">2025-12-28T22:03:38+01:00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