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5 godz. - konsultacje.
2. Praca własna studenta: 15 godz., w tym:
a) 15 godz. - praca nad przygotowaniem projektu konstrukcyjnego.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projekt,
b) 5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
a) uczestnictwo w zajęciach projektowych - 30 godz.,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III, Zapis Konstrukcji CAD II, Zintegrowane systemy CAD/CAM/CAE.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 innymi projekty podzespołów statków latających. Kształtowanie elementów urządzenia oraz połączeń między nimi. Dobór materiałów. Obliczenia kinematyki, statyki i wytrzymałości elementów urządzenia. Wykonanie w systemie CAD rysunku złożeniowego podzespołu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L.W. Kurmaz,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ML.NK368_W1: </w:t>
      </w:r>
    </w:p>
    <w:p>
      <w:pPr/>
      <w:r>
        <w:rPr/>
        <w:t xml:space="preserve">							Zna zasady doboru materiałów konstrukcyjnych w procesie projektowania maszyn.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ML.NK368_U2: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ML.NK368_U7: </w:t>
      </w:r>
    </w:p>
    <w:p>
      <w:pPr/>
      <w:r>
        <w:rPr/>
        <w:t xml:space="preserve">							Potrafi zaprojektować urządzenie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2024-05-02T22:47:56+02:00</dcterms:created>
  <dcterms:modified xsi:type="dcterms:W3CDTF">2024-05-02T22:47:56+02:00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