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ML.NS529_W1: </w:t>
      </w:r>
    </w:p>
    <w:p>
      <w:pPr/>
      <w:r>
        <w:rPr/>
        <w:t xml:space="preserve">														Ma podstawową wiedzę z mechaniki kompozytowych materiałów i elementów konstrukcyjnych, należącej do współczesnej mechaniki ciała stałego i konstrukcji.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ML.NS529_W2: </w:t>
      </w:r>
    </w:p>
    <w:p>
      <w:pPr/>
      <w:r>
        <w:rPr/>
        <w:t xml:space="preserve">														Ma podstawową wiedzę na temat wszystkich grup nowoczesnych materiałów z uwypukleniem ich zastosowań.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ML.NS529_U1: </w:t>
      </w:r>
    </w:p>
    <w:p>
      <w:pPr/>
      <w:r>
        <w:rPr/>
        <w:t xml:space="preserve">																					Posiada umiejętność powiązania rzeczywistości z modelowaniem fizycznym i matematycznym na potrzeby obliczeń inżynierskich i badań naukowych.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2024-05-08T02:50:24+02:00</dcterms:created>
  <dcterms:modified xsi:type="dcterms:W3CDTF">2024-05-08T02:50:24+02:00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