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- 15 godz.,
b) zajęcia projektowe - 15 godz.,
c) konsultacje - 5 godz.
2) Praca własna nad zadaniami projektowymi  - 40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– 52 godz., w tym:
a) praca własna nad zadaniami projektowymi  - 40 godz.,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ML.NK401_U1: </w:t>
      </w:r>
    </w:p>
    <w:p>
      <w:pPr/>
      <w:r>
        <w:rPr/>
        <w:t xml:space="preserve">														Potrafi opracować proces formowania i łączenia blach w strukturach płatowca.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ML.NK401_U2: </w:t>
      </w:r>
    </w:p>
    <w:p>
      <w:pPr/>
      <w:r>
        <w:rPr/>
        <w:t xml:space="preserve">																					Potrafi zaprojektować proces odwzorowania geometrii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ML.NK401_U3: </w:t>
      </w:r>
    </w:p>
    <w:p>
      <w:pPr/>
      <w:r>
        <w:rPr/>
        <w:t xml:space="preserve">														Potrafi konstruować przyrządy montażowe.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2026-07-27T17:37:33+02:00</dcterms:created>
  <dcterms:modified xsi:type="dcterms:W3CDTF">2026-07-27T17:37:33+02:00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