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godzin,
b) udział w laboratoriach - 15 godzin,
c) udział w konsultacjach - 10 godzin.
2) 20 godzin pracy własnej poświęconej poszerzeniu wiedzy teoretycznej z wykorzystaniem zalecanej literatury oraz ćwiczeniom komputerowym dla poznania działania komercyjnych kodów symulacji zagadnień mechaniki płynów i wymiany ciepła w zastosowaniach inżynierskich.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godzin,
b) laboratoria - 15 godzin,
c) konsultacje - 10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15- godzin pracy laboratorium,
2) 10 - konsultacje przy programie komputerowym,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 
5. Modelowanie ustalonej i nieustalonej dyfuzji na siatkach objętości kontrolnych i elementów skończonych.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ML.NK347_W1: </w:t>
      </w:r>
    </w:p>
    <w:p>
      <w:pPr/>
      <w:r>
        <w:rPr/>
        <w:t xml:space="preserve">							Rozumie podstawowe założenia, zalety i ograniczenia symulacji komputerowej procesów przepływowych i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ML.NK347_W2: </w:t>
      </w:r>
    </w:p>
    <w:p>
      <w:pPr/>
      <w:r>
        <w:rPr/>
        <w:t xml:space="preserve">							Zna podstawy współczesnych metod modelowania numerycznego zagadnień mechaniki płynów i wymiany ciepła, w tym: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 ML.NK347_W3: </w:t>
      </w:r>
    </w:p>
    <w:p>
      <w:pPr/>
      <w:r>
        <w:rPr/>
        <w:t xml:space="preserve">							Zna podstawowe metody analizy i oszacowania błędów rozwiązań numerycznych dla zagadnień opisanych równaniami różniczkowymi cząstkowymi.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 ML.NK347_W4: </w:t>
      </w:r>
    </w:p>
    <w:p>
      <w:pPr/>
      <w:r>
        <w:rPr/>
        <w:t xml:space="preserve">																					Ma podstawową wiedzę z zakresu oceny wiarygodności modeli symulacyjnych w procedurach weryfikacji i walidacji.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T2A_U15</w:t>
      </w:r>
    </w:p>
    <w:p>
      <w:pPr>
        <w:keepNext w:val="1"/>
        <w:spacing w:after="10"/>
      </w:pPr>
      <w:r>
        <w:rPr>
          <w:b/>
          <w:bCs/>
        </w:rPr>
        <w:t xml:space="preserve">Efekt  ML.NK347_U2: </w:t>
      </w:r>
    </w:p>
    <w:p>
      <w:pPr/>
      <w:r>
        <w:rPr/>
        <w:t xml:space="preserve">														Posiada umiejętność wykorzystania komercyjnych kodów (w tym: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E2_U13, E2_U18, 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T2A_U10, T2A_U15, T2A_U18, T2A_U19</w:t>
      </w:r>
    </w:p>
    <w:p>
      <w:pPr>
        <w:keepNext w:val="1"/>
        <w:spacing w:after="10"/>
      </w:pPr>
      <w:r>
        <w:rPr>
          <w:b/>
          <w:bCs/>
        </w:rPr>
        <w:t xml:space="preserve">Efekt  ML.NK347_U3: </w:t>
      </w:r>
    </w:p>
    <w:p>
      <w:pPr/>
      <w:r>
        <w:rPr/>
        <w:t xml:space="preserve">														Potrafi zinterpretować wyniki obliczeń numerycznych pod kątem ich zgodności z fizyką zjawiska oraz dokładności modelu przybliżonego.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E2_U11, E2_U13,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T2A_U10,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2026-06-11T10:49:35+02:00</dcterms:created>
  <dcterms:modified xsi:type="dcterms:W3CDTF">2026-06-11T10:49:35+02:00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