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Programy Bilansów Cieplnych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Milewski,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wykładach - 15 godz.,
b) udział w ćwiczeniach - 15 godz.,
c) konsultacje - 2 godz.
2) Praca własna studenta - 20 godz., w tym:
a) bieżące przygotowywanie się do zajęć, praca nad projektem. - 20 godz.
Razem - 52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 liczba godzin kontaktowych: 32, w tym:
a) udział w wykładach - 15 godz.,
b) udział w ćwiczeniach - 15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- 35 godzin, w tym:
a) udział w ćwiczeniach - 15 godz.,
b) bieżące przygotowywanie się do zajęć, praca nad projektem. - 20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posiądzie umiejętności posługiwania się profesjonalnymi i zaawansowanymi narzędziami służącymi do modelowania, symulacji i optymalizacji bilansów cieplnych układów energetycznych.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Komercyjne programy do bilansowania układów cieplnych. Instalacja energetyczna jako obiekt bilansowania. Bilans masy, energii i pędu dla stanu ustalonego i nieustalonego. Formułowanie układów równań bilansowych. Automatyzacja procesów formułowania równań, metody macierzowe, wykorzystanie grafów, metody obiektowe. Metody rozwiązywania układów równań algebraicznych i różniczkowych.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 i test zaliczeniowy.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Podręcznik użytkownika programu Hysys.
2)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E2_W03, E2_W05, E2_W06, E2_W11, E2_W16,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T2A_W02, T2A_W03, T2A_W04, T2A_W07, T2A_W07</w:t>
      </w:r>
    </w:p>
    <w:p>
      <w:pPr>
        <w:keepNext w:val="1"/>
        <w:spacing w:after="10"/>
      </w:pPr>
      <w:r>
        <w:rPr>
          <w:b/>
          <w:bCs/>
        </w:rPr>
        <w:t xml:space="preserve">Efekt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E2_W03, E2_W05, E2_W06, E2_W11, E2_W16,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T2A_W02, T2A_W03, T2A_W04, T2A_W07, T2A_W07</w:t>
      </w:r>
    </w:p>
    <w:p>
      <w:pPr>
        <w:keepNext w:val="1"/>
        <w:spacing w:after="10"/>
      </w:pPr>
      <w:r>
        <w:rPr>
          <w:b/>
          <w:bCs/>
        </w:rPr>
        <w:t xml:space="preserve">Efekt ML.NS635_W3: </w:t>
      </w:r>
    </w:p>
    <w:p>
      <w:pPr/>
      <w:r>
        <w:rPr/>
        <w:t xml:space="preserve">Wiedza w zakresie optymalizacji rozkładu obciążeń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E2_W11, E2_W16,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E2_U07, E2_U09, E2_U13, E2_U14, E2_U18, E2_U22,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T2A_U11, T2A_U10, T2A_U15, T2A_U17, T2A_U19, T2A_U18, T2A_U19</w:t>
      </w:r>
    </w:p>
    <w:p>
      <w:pPr>
        <w:keepNext w:val="1"/>
        <w:spacing w:after="10"/>
      </w:pPr>
      <w:r>
        <w:rPr>
          <w:b/>
          <w:bCs/>
        </w:rPr>
        <w:t xml:space="preserve">Efekt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E2_U13, E2_U14, E2_U18, E2_U22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T2A_U11, T2A_U10, T2A_U15, T2A_U17, T2A_U19</w:t>
      </w:r>
    </w:p>
    <w:p>
      <w:pPr>
        <w:keepNext w:val="1"/>
        <w:spacing w:after="10"/>
      </w:pPr>
      <w:r>
        <w:rPr>
          <w:b/>
          <w:bCs/>
        </w:rPr>
        <w:t xml:space="preserve">Efekt ML.NS635_U3: </w:t>
      </w:r>
    </w:p>
    <w:p>
      <w:pPr/>
      <w:r>
        <w:rPr/>
        <w:t xml:space="preserve">Umiejętność wykorzystania komercyjnych programów obliczeniowych dla zagadnień modelowania, bilansowania i optymalizacji pracy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E2_U13,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ML.NS635_K1: </w:t>
      </w:r>
    </w:p>
    <w:p>
      <w:pPr/>
      <w:r>
        <w:rPr/>
        <w:t xml:space="preserve">Potrafi realizować zaawansowane zadanie obliczeniowe korzystając z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E2_K01, E2_K04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2025-04-16T02:49:57+02:00</dcterms:created>
  <dcterms:modified xsi:type="dcterms:W3CDTF">2025-04-16T02:49:57+02:00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