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co odpowiada 30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w ramach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W_01: </w:t>
      </w:r>
    </w:p>
    <w:p>
      <w:pPr/>
      <w:r>
        <w:rPr/>
        <w:t xml:space="preserve">Student wie jakie czynniki wpływają na skuteczność pracy sądu, rozumie i rozróżnia klasyczne i nowoczesne podejście do sądownictwa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literatury, wyroków i orzeczeń, dyskusja nad wyrokami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Student wie jakie czynniki wpływają na decyzje sędziowskie, jak wygląda rozprawa, jak funkcjonuje sąd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analiza literatury przedmiotu i raportów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analizować artykuły medialne poświęcone sądownictwu i wyszukać odpowiednie przepisy w analizowanych ustawach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wyroków, literatury przedmiotu i raportów z badań Analiza tekstów.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ocenić profesjonalizm i kulturę w trakcie rozprawy sądowej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orzeczeń Referaty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Sprawnego „poruszania się po sądzie”, świadomości zasad obowiązujących w trakcie rozprawy, zna prawa i obowiązki głównych aktorów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samodzielnie potrafi postawić diagnozę skuteczności komunikacyjnej sędziego z nieprofesjonalistą występującym w sądzie. Student potrafi samodzielnie poszukiwać podstaw prawnych i orzecznictwa w zakresie funkcjonowania sądownictwa powszechnego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wyroków, orzecznictwa sądowego, dyskusje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2024-05-09T02:47:06+02:00</dcterms:created>
  <dcterms:modified xsi:type="dcterms:W3CDTF">2024-05-09T02:47:06+02:00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