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9 godz. wykładu;
b) 9 godz. laboratorium;
c) 2 godz. konsultacji.
2. Praca własna studenta - 
a) 25 godz. przygotowanie projektów;
b) 25 godz. - studiowanie literatury, przygotowanie się do kolokwiów.
Ogółem - 70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 Teoria powierzchni nośnej. Płaty o małym wydłużeniu i układy hybrydowe. Opływ płata przy dużych kątach natarcia, nieliniowe efekty aerodynamiczne. Przepływ transoniczny, podobieństwo transoniczne, skrzydło skośne. Opór falowy brył 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ZNK302_W1: </w:t>
      </w:r>
    </w:p>
    <w:p>
      <w:pPr/>
      <w:r>
        <w:rPr/>
        <w:t xml:space="preserve">Student posiada ogólną wiedzę odnośnie metod obliczeniowych stosowanych w projektowaniu aerodynamicznym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T2A_W06</w:t>
      </w:r>
    </w:p>
    <w:p>
      <w:pPr>
        <w:keepNext w:val="1"/>
        <w:spacing w:after="10"/>
      </w:pPr>
      <w:r>
        <w:rPr>
          <w:b/>
          <w:bCs/>
        </w:rPr>
        <w:t xml:space="preserve">Efekt ZNK302_W2: </w:t>
      </w:r>
    </w:p>
    <w:p>
      <w:pPr/>
      <w:r>
        <w:rPr/>
        <w:t xml:space="preserve">	Student posiada wiedzę odnośnie własności profilu lotniczego, układu profili, powierzchni nośnych oraz zasad ich analizy i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ZNK302_W3: </w:t>
      </w:r>
    </w:p>
    <w:p>
      <w:pPr/>
      <w:r>
        <w:rPr/>
        <w:t xml:space="preserve">Student posiada wiedzę odnośnie podstaw techniki laboratoryjnych pomiarów 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ZNK302_U1: </w:t>
      </w:r>
    </w:p>
    <w:p>
      <w:pPr/>
      <w:r>
        <w:rPr/>
        <w:t xml:space="preserve">Umiejętność analizy charakterystyk aerodynamicznych profilu oraz jego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MiBM2_U05,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</w:t>
      </w:r>
    </w:p>
    <w:p>
      <w:pPr>
        <w:keepNext w:val="1"/>
        <w:spacing w:after="10"/>
      </w:pPr>
      <w:r>
        <w:rPr>
          <w:b/>
          <w:bCs/>
        </w:rPr>
        <w:t xml:space="preserve">Efekt ZNK302_U2: </w:t>
      </w:r>
    </w:p>
    <w:p>
      <w:pPr/>
      <w:r>
        <w:rPr/>
        <w:t xml:space="preserve">Podstawowa umiejętność wykorzystania programu MSES do analizy i optymalizacji profili.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2024-05-04T09:57:15+02:00</dcterms:created>
  <dcterms:modified xsi:type="dcterms:W3CDTF">2024-05-04T09:57:15+02:00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