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Barbara Havel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30 godzin, w tym:
a) obecność na wykładach - 15 godzin 
b) obecność na ćwiczeniach - 15 godzin
2. Praca własna studenta – 30 godzin, w tym: 
a) przygotowanie do ćwiczeń - 10 godzin
b) zapoznanie się ze wskazaną literaturą - 20 godzin
Łączny nakład pracy studenta wynosi 60 godzin,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kontaktowych 30, w tym:
a) obecność na wykładach - 15 godzin 
b) obecność na ćwiczeniach - 15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pkt. ECTS - 25 godzin, w tym: 
a) obecność na ćwiczeniach - 15 godzin
b) przygotowanie do ćwiczeń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Tematyka przedmiotu koresponduje z prowadzonymi projektami urbanistycznym i planistycznym.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30 w grupach ćwiczeniowych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z zakresu gospodarki przestrzennej oraz uwarunkowań społeczno – kulturowych, zarówno w sferze teoretycznej jak i przydatności teorii w praktyce projektowej i planistycznej.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Cykl wykładowy:
Celem przedmiotu jest prezentacja i rozwijanie wiedzy z zakresu gospodarki przestrzennej oraz uwarunkowań społeczno – kulturowych, zarówno w sferze teoretycznej jak i przydatności teorii w praktyce projektowej i planistycznej. Ważną częścią programu jest analiza zachodzących procesów rozwojowych, przedstawiona na przykładach wybranych  miast: Sztokholm, Berlin, Londyn, Wiedeń, Helsinki, Stuttgart, Kopenhaga, Drezno, Bruksela, Warszawa, Paryż, Manchester, Espoo i innych. Wykłady są poświęcone kolejno podstawowym pojęciom w urbanistyce, mieszkalnictwu, infrastrukturze społecznej i technicznej, prawom rozwoju, polityce przestrzennej, planowaniu przestrzennemu, śródmieściom, sferze pracy w mieście, przestrzeniom publicznym. 
Na ĆWICZENIACH omawiane są typy zabudowy, zasady programowania zagospodarowania miasta, systemy transportowe, modernizacja i rewitalizacja, urbanistyczna, usługi podstawowe, zieleń, inwentaryzacja urbanistyczna.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Uczestnictwo w ćwiczeniach oceniane jest na podstawie wykonanych w czasie zajęć zadań tematycznych. Ocena końcowa z ćwiczeń jest średnią arytmetyczną z poszczególnych projektów.
Ocena końcowa jest oceną z ćwiczeń.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 Teoria urbanistyki w projektowaniu i planowaniu miast, Ofic. Wyd. PW,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kontynuowany na semestrze 6 i kończy się egzaminem.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GP.SIK501_W1 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GP.SIK501_W2: </w:t>
      </w:r>
    </w:p>
    <w:p>
      <w:pPr/>
      <w:r>
        <w:rPr/>
        <w:t xml:space="preserve">ma podstawową wiedzę w zakresie funkcjonowania organizmu miejskiego, a zwłaszcza środowiska zamieszkania w mieście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K_W20, K_W21, K_W24_UR, K_W26_UR,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T1A_W07, T1A_W09, T1A_W01, T1A_W04,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GP.SIK501_U1: </w:t>
      </w:r>
    </w:p>
    <w:p>
      <w:pPr/>
      <w:r>
        <w:rPr/>
        <w:t xml:space="preserve">posiada umiejętność doboru właściwych źródeł internetowych i pozycji literaturowych oraz analizy zebranych danych dla potrzeb wykonywanych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GP.SIK501_U2: </w:t>
      </w:r>
    </w:p>
    <w:p>
      <w:pPr/>
      <w:r>
        <w:rPr/>
        <w:t xml:space="preserve">potrafi ocenić stan zagospodarowania przestrzennego miasta i określić pożądane kierunki jego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K_U14,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T1A_U09, T1A_U13, T1A_U15,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GP.SIK501_K1: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GP.SIK501_K2: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2024-05-03T18:48:19+02:00</dcterms:created>
  <dcterms:modified xsi:type="dcterms:W3CDTF">2024-05-03T18:48:19+02:00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