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GP.SIK429</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udział w wykładach - 30 godzin 
b) udział w ćwiczeniach - 30 godzin
c) udział w konsultacjach związanych z realizacją projektu - 5 godzin
d) egzamin - 2 godziny
2. Praca własna studenta – 35 godzin, w tym: 
a) przygotowanie do ćwiczeń - 15 godzin
b) wykonanie projektu operatu szacunkowego - 10 godzin
c) zapoznanie się z literaturą przedmiotu i przygotowanie do egzaminu - 10 godzin
Łączny nakład pracy studenta wynosi 102 godziny,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 liczba godzin kontaktowych 67, w tym:
a) udział w wykładach - 30 godzin 
b) udział w ćwiczeniach - 30 godzin
c) udział w konsultacjach związanych z realizacją projektu - 5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- 60 godzin, w tym: 
a) udział w ćwiczeniach - 30 godzin
b) udział w konsultacjach związanych z realizacją projektu - 5 godzin
c) przygotowanie do ćwiczeń - 15 godzin
d) wykonanie projektu operatu szacunkowego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elementy prawa cywilnego i administracyjnego.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zadań gospodarowania zasobami nieruchomości Skarbu Państwa i Jednostek Samorządu Terytorialnego i form ich wykonywania. Zasadność określania wartości nieruchomości dla potrzeb gospodarki nieruchomościami, z odniesieniem do obowiązujących uwarunkowań prawnych. 
</w:t>
      </w:r>
    </w:p>
    <w:p>
      <w:pPr>
        <w:keepNext w:val="1"/>
        <w:spacing w:after="10"/>
      </w:pPr>
      <w:r>
        <w:rPr>
          <w:b/>
          <w:bCs/>
        </w:rPr>
        <w:t xml:space="preserve">Treści kształcenia: </w:t>
      </w:r>
    </w:p>
    <w:p>
      <w:pPr>
        <w:spacing w:before="20" w:after="190"/>
      </w:pPr>
      <w:r>
        <w:rPr/>
        <w:t xml:space="preserve">WYKŁAD:
Podstawowe definicje i pojęcia związane z nieruchomościami i rynkiem nieruchomości. Źródła danych o nieruchomościach. Zasoby nieruchomości. Podstawy prawne gospodarowania nieruchomościami Skarbu Państwa i Jednostek Samorządu Terytorialnego. Inwestycje celu publicznego. Zasady zbywania i nabywania oraz oddawania nieruchomości w użytkowanie wieczyste. Przekształcenie prawa użytkowania wieczystego w prawo własności. Wywłaszczanie nieruchomości i zwrot wywłaszczonych nieruchomości. Podziały nieruchomości. Podziały i scalenia nieruchomości. Opłaty adiacenckie. Opłata planistyczna. Podejścia, metody i techniki wyceny nieruchomości w procesie gospodarowania nieruchomościami. Budowa operatu szacunkowego. Wycena dla zabezpieczenia wierzytelności. Gospodarowanie nieruchomościami rolnymi i leśnymi Skarbu Państwa.
ĆWICZENIA:
Przeprowadzenie badań rynku nieruchomości oraz zgromadzenie danych dla potrzeb wyceny nieruchomości. Wykonanie projektu operatu szacunkowego określenia wartości rynkowej nieruchomości lokalowej w podejściu porównawczym metodami porównywania parami i korygowania ceny średniej. Przygotowanie dokumentacji dla celu sprzedaży nieruchomości gruntowej w trybie przetargu. Przykłady zadań na podejścia dochodowe i kosztowe. Przykłady wyceny nieruchomości rolnej i leśnej.
</w:t>
      </w:r>
    </w:p>
    <w:p>
      <w:pPr>
        <w:keepNext w:val="1"/>
        <w:spacing w:after="10"/>
      </w:pPr>
      <w:r>
        <w:rPr>
          <w:b/>
          <w:bCs/>
        </w:rPr>
        <w:t xml:space="preserve">Metody oceny: </w:t>
      </w:r>
    </w:p>
    <w:p>
      <w:pPr>
        <w:spacing w:before="20" w:after="190"/>
      </w:pPr>
      <w:r>
        <w:rPr/>
        <w:t xml:space="preserve">Przedmiot obejmuje dwie formy zajęć: wykłady i ćwiczenia.
1. Warunkiem zaliczenia ćwiczeń jest wykonanie wszystkich tematów/projektów przewidzianych programem zajęć oraz pozytywna ocena z realizacji projektu operatu szacunkowego i jego obrony. Formę i zakres sprawozdania z wykonanego tematu/projektu określa prowadzący ćwiczenia.
2. Warunkiem zaliczenia wykładów jest zdanie egzaminu. Egzamin odbywa się w formie pisemnej, podczas egzaminu nie dopuszcza się możliwości korzystania z materiałów pomocniczych. Do zdania egzaminu wymagane jest uzyskanie minimum 51% punktów. Zaliczenie ćwiczeń projektowych jest warunkiem koniecznym do przystąpienia do egzaminu.
Trzykrotna nieobecność na ćwiczeniach w ciągu semestru powoduje niezaliczenie ćwiczeń. Student nieobecny na zajęciach ma obowiązek zgłosić się do prowadzącego (mailowo, osobiście) celem uzgodnienia terminu odrobienia ćwiczeń. Nieobecność na zajęciach nie zwalnia studenta z obowiązku rozliczenia się z poprzednich zajęć i przygotowania się do następnych zajęć z realizacji poszczególnych etapów projektu.
Ocenę łączną ustala się na podstawie średniej ważonej z egzaminu (waga 2)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Dz.U. z 2016 r., poz. 2147 z późn. zm.).
2. Ustawa z dnia 23 kwietnia 1964 r. Kodeks cywilny.
3. Ustawa z dnia 24 czerwca 1994 r. o własności lokali.
4. Ustawa z dnia 15 grudnia 2000 r. o spółdzielniach mieszkaniowych.
5. Ustawa z dnia 27 marca 2003 r. o planowaniu i zagospodarowaniu przestrzennym.
6. Ustawa z dnia 6 lipca 1982 r. o księgach wieczystych i hipotece.
7. Ustawa z dnia 28 września 1991 r. o lasach.
8. Ustawa z dnia 19 października 1991 r. o gospodarowaniu nieruchomościami rolnymi Skarbu Państwa.
9. Ustawa z dnia 3 lutego 1995 r. o ochronie gruntów rolnych i leśnych.
10. Ustawa z dnia 11 kwietnia 2003 r. o kształtowaniu ustroju rolnego.
11. Ustawa z dnia 14 kwietnia 2016 r. o wstrzymaniu sprzedaży nieruchomości Zasobu Własności Rolnej Skarbu Państwa oraz o zmianie niektórych ustaw.
12. Rozporządzenie Ministra Rozwoju Regionalnego i Budownictwa z dnia 29 marca 2001 r. w sprawie ewidencji gruntów i budynków.
13. Rozporządzenie Rady Ministrów z dnia 21 września 2004 r. w sprawie wyceny nieruchomości i sporządzania operatu szacunkowego (Dz.U. z 2004 r. Nr 207, poz. 2109).
14. Rozporządzenie Rady Ministrów z dnia 27 września 2005 r. zmieniające rozporządzenie w sprawie wyceny nieruchomości i sporządzania operatu szacunkowego (Dz.U. z 2005 r. Nr 196, poz. 1628).
15. Rozporządzenie Rady Ministrów z dnia 14 lipca 2011 r. zmieniające rozporządzenie w sprawie wyceny nieruchomości i sporządzania operatu szacunkowego (Dz.U. z 2011 r. Nr 165, poz. 985).
16. Standardy zawodowe - Wycena dla zabezpieczenia wierzytelności (Dziennik Urzędowy MI Nr 1 z dnia 8.01.2010 r.).
Uzupełniające przepisy prawne:
1. Ustawa z dnia 8 marca 1990 r. o samorządzie gminnym.
2. Ustawa z dnia 15 marca 2002 r. o ustroju miasta stołecznego Warszawy.
Publikacje:
1. Dydenko J. (red.), Szacowanie nieruchomości. Rzeczoznawstwo majątkowe. LEX Grupa Wolters Kluwer, Warszawa 2015.
2. Cymerman R., Hopfer A., System, zasady i procedury wyceny nieruchomości. PFSRM, Warszawa 2012.
3. Horoszko M., Pęchorzewski D. (red.), Gospodarka nieruchomościami. Komentarz. C.H.Beck, Warszawa 2014.
4. Prystupa M., Wycena nieruchomości przy zastosowaniu podejścia porównawczego. PFSRM, Warszawa 2003.
5. Źróbek S., Źróbek R., Kuryj J., Gospodarka nieruchomościami z komentarzem do wybranych procedur. Wydawnictwo GALL, Katowice 2006.
Podstawy metodologiczne:
1. KRAJOWE STANDARDY WYCENY SPECJALISTYCZNE:
- Wycena nieruchomości rolnych (Uchwała RK nr 8_05_2015 z dnia 29.05.2015 r.).
2. NOTY INTERPRETACYJNE:
- Zastosowanie podejścia porównawczego w wycenie nieruchomości.
- Zastosowanie podejścia dochodowego w wycenie nieruchomości.
- Zastosowanie metody pozostałościowej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GP.SIK429_W1: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GP.SIK429_W2: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T1A_W07</w:t>
      </w:r>
    </w:p>
    <w:p>
      <w:pPr>
        <w:keepNext w:val="1"/>
        <w:spacing w:after="10"/>
      </w:pPr>
      <w:r>
        <w:rPr>
          <w:b/>
          <w:bCs/>
        </w:rPr>
        <w:t xml:space="preserve">Efekt GP.SIK429_W3: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S1A_W02, S1A_W03</w:t>
      </w:r>
    </w:p>
    <w:p>
      <w:pPr>
        <w:keepNext w:val="1"/>
        <w:spacing w:after="10"/>
      </w:pPr>
      <w:r>
        <w:rPr>
          <w:b/>
          <w:bCs/>
        </w:rPr>
        <w:t xml:space="preserve">Efekt GP.SIK429_W4: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GP.SIK429_W5: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T1A_W02, T1A_W06</w:t>
      </w:r>
    </w:p>
    <w:p>
      <w:pPr>
        <w:keepNext w:val="1"/>
        <w:spacing w:after="10"/>
      </w:pPr>
      <w:r>
        <w:rPr>
          <w:b/>
          <w:bCs/>
        </w:rPr>
        <w:t xml:space="preserve">Efekt GP.SIK429_W6: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K_W24_SR</w:t>
      </w:r>
    </w:p>
    <w:p>
      <w:pPr>
        <w:spacing w:before="20" w:after="190"/>
      </w:pPr>
      <w:r>
        <w:rPr>
          <w:b/>
          <w:bCs/>
        </w:rPr>
        <w:t xml:space="preserve">Powiązane efekty obszarowe: </w:t>
      </w:r>
      <w:r>
        <w:rPr/>
        <w:t xml:space="preserve">S1A_W06, T1A_W03, T1A_W08</w:t>
      </w:r>
    </w:p>
    <w:p>
      <w:pPr>
        <w:keepNext w:val="1"/>
        <w:spacing w:after="10"/>
      </w:pPr>
      <w:r>
        <w:rPr>
          <w:b/>
          <w:bCs/>
        </w:rPr>
        <w:t xml:space="preserve">Efekt GP.SIK429_W7: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GP.SIK429_U1: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K_U08, K_U11, K_U19_SR</w:t>
      </w:r>
    </w:p>
    <w:p>
      <w:pPr>
        <w:spacing w:before="20" w:after="190"/>
      </w:pPr>
      <w:r>
        <w:rPr>
          <w:b/>
          <w:bCs/>
        </w:rPr>
        <w:t xml:space="preserve">Powiązane efekty obszarowe: </w:t>
      </w:r>
      <w:r>
        <w:rPr/>
        <w:t xml:space="preserve">T1A_U01, S1A_U02, S1A_U03, S1A_U08, P1A_U01, T1A_U07, T1A_U10, T1A_U03</w:t>
      </w:r>
    </w:p>
    <w:p>
      <w:pPr>
        <w:keepNext w:val="1"/>
        <w:spacing w:after="10"/>
      </w:pPr>
      <w:r>
        <w:rPr>
          <w:b/>
          <w:bCs/>
        </w:rPr>
        <w:t xml:space="preserve">Efekt GP.SIK429_U2: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K_U02, K_U03, K_U04, K_U18_SR</w:t>
      </w:r>
    </w:p>
    <w:p>
      <w:pPr>
        <w:spacing w:before="20" w:after="190"/>
      </w:pPr>
      <w:r>
        <w:rPr>
          <w:b/>
          <w:bCs/>
        </w:rPr>
        <w:t xml:space="preserve">Powiązane efekty obszarowe: </w:t>
      </w:r>
      <w:r>
        <w:rPr/>
        <w:t xml:space="preserve">T1A_U02, T1A_U03, T1A_U03, T1A_U04, T1A_U12, T1A_U14</w:t>
      </w:r>
    </w:p>
    <w:p>
      <w:pPr>
        <w:keepNext w:val="1"/>
        <w:spacing w:after="10"/>
      </w:pPr>
      <w:r>
        <w:rPr>
          <w:b/>
          <w:bCs/>
        </w:rPr>
        <w:t xml:space="preserve">Efekt GP.SIK429_U3: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GP.SIK429_U4: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GP.SIK429_U5: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GP.SIK429_K1: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 K_K04, K_K05, K_K06</w:t>
      </w:r>
    </w:p>
    <w:p>
      <w:pPr>
        <w:spacing w:before="20" w:after="190"/>
      </w:pPr>
      <w:r>
        <w:rPr>
          <w:b/>
          <w:bCs/>
        </w:rPr>
        <w:t xml:space="preserve">Powiązane efekty obszarowe: </w:t>
      </w:r>
      <w:r>
        <w:rPr/>
        <w:t xml:space="preserve">T1A_K01, T1A_K03, T1A_K03, T1A_K04, T1A_K06,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2024-04-28T17:05:37+02:00</dcterms:created>
  <dcterms:modified xsi:type="dcterms:W3CDTF">2024-04-28T17:05:37+02:00</dcterms:modified>
</cp:coreProperties>
</file>

<file path=docProps/custom.xml><?xml version="1.0" encoding="utf-8"?>
<Properties xmlns="http://schemas.openxmlformats.org/officeDocument/2006/custom-properties" xmlns:vt="http://schemas.openxmlformats.org/officeDocument/2006/docPropsVTypes"/>
</file>