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25, w tym:
a)	wykład – 15 – godz.
b)	konsultacje – 10 godz.
2. Praca własna studenta: 2, w tym:
a)	 0 godz. - przygotowywanie się studenta do wykładów,
b)	 2 godz. – przygotowywanie się studenta do kolokwium
Łączny nakład pracy studenta wynosi 27 godzin,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25, w tym:
a)	wykład – 15 – godz.
b)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GP.SMK106_W1: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GP.SMK106_U1: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 T2A_U10</w:t>
      </w:r>
    </w:p>
    <w:p>
      <w:pPr>
        <w:pStyle w:val="Heading3"/>
      </w:pPr>
      <w:bookmarkStart w:id="4" w:name="_Toc4"/>
      <w:r>
        <w:t>Profil ogólnoakademicki - kompetencje społeczne</w:t>
      </w:r>
      <w:bookmarkEnd w:id="4"/>
    </w:p>
    <w:p>
      <w:pPr>
        <w:keepNext w:val="1"/>
        <w:spacing w:after="10"/>
      </w:pPr>
      <w:r>
        <w:rPr>
          <w:b/>
          <w:bCs/>
        </w:rPr>
        <w:t xml:space="preserve">Efekt GP.SMK106_K1: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2026-09-08T16:36:12+02:00</dcterms:created>
  <dcterms:modified xsi:type="dcterms:W3CDTF">2026-09-08T16:36:12+02:00</dcterms:modified>
</cp:coreProperties>
</file>

<file path=docProps/custom.xml><?xml version="1.0" encoding="utf-8"?>
<Properties xmlns="http://schemas.openxmlformats.org/officeDocument/2006/custom-properties" xmlns:vt="http://schemas.openxmlformats.org/officeDocument/2006/docPropsVTypes"/>
</file>