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ćwiczenia - 30 godz.
b) konsultacje - 5 godz.
2. Praca własna studenta - 15, w tym:
a) przygotowanie prezentacji - 15 godz.
Łączny nakład pracy studenta wynosi 50 godzin, co odpowiada 2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ćwiczenia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uczestniczenie w ćwiczeniach - 30 godz.
b) przygotowanie prezentacji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 z  uwarunkowaniami prawno-gospodarczymi występującymi w miastach UE, które mają wpływ na rozwiązania urbanistyczne.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wraz z raportem, Esej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 Maciej Chmielewski, Teoria Urbanistyki w projektowaniu i planowaniu miast, Oficyna Wydawnicza Politechniki Warszawskiej, 2010
2.	Magdalena Belof, Teoria a praktyka planowania regionalnego. Doświadczenia polskie w planowaniu przestrzennym po 1989r. Oficyna Wydawnicza Politechniki Wrocławskiej, 2013
3.	Sławomir Gzel, Wykłady o współczesnej urbanistyce, Oficyna Wydawnicza Politechniki Warszawskiej, 2015
4.	Cities of tomorrow - Challenges, visions, ways forward – (Miasta jutra – wyzwania, wizje, rozwiązania), Komisja Europejska, 2011, http://ec.europa.eu/regional_policy/archive/conferences/citiesoftomorrow/index_en.cfm
5.	The European Innovation Partnership on Smart Cities and Communities - Operational Implementation Plan: First Public Draft, 2015, http://ec.europa.eu/eip/smartcities/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GP.SMK110_W1 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GP.SMK110_W2: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GP.SMK110_W3: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GP.SMK110_U1: </w:t>
      </w:r>
    </w:p>
    <w:p>
      <w:pPr/>
      <w:r>
        <w:rPr/>
        <w:t xml:space="preserve">potrafi samodzielnie pozyskiwać informacje z literatury 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GP.SMK110_K1: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GP.SMK110_K2: </w:t>
      </w:r>
    </w:p>
    <w:p>
      <w:pPr/>
      <w:r>
        <w:rPr/>
        <w:t xml:space="preserve">potrafi współpracować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GP.SMK110_K3: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2024-04-29T18:08:54+02:00</dcterms:created>
  <dcterms:modified xsi:type="dcterms:W3CDTF">2024-04-29T18:08:54+02:00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