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- 64, w tym:
a) uczestnictwo w wykładach - 30 godz.
b) uczestnictwo w ćwiczeniach projektowych - 30 godz.
c) udział w konsultacjach związanych z realizacją projektu - 4 godz.
2. Praca własna studenta - 56 godzin, w tym:
a) przygotowanie do ćwiczeń projektowych - 16 godz.
b) opracowanie w domu wyników tematów/projektów realizowanych w ramach ćwiczeń - 20 godz.
c) przygotowanie do 2 kolokwiów z wykładów - 20 godz.
Łączny nakład pracy studenta wynosi 120 godziny,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- 64, w tym:
a) uczestnictwo w wykładach - 30 godz.
b) uczestnictwo w ćwiczeniach projektowych - 30 godz.
c) udział w konsultacjach związanych z realizacją projektu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- 70 godzin, w tym:
a) uczestnictwo w ćwiczeniach projektowych - 30 godz.
b) udział w konsultacjach związanych z realizacją projektu - 4 godz.
c) przygotowanie do ćwiczeń projektowych - 16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elementy prawa cywilnego i administracyjnego, gospodarki nieruchomościami, zasady planowania przestrzennego.</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Nabycie umiejętności doboru i korzystania z przepisów prawnych związanych ze szczegółowymi uwarunkowaniami gromadzenia informacji i wykonywania badań rynkowych dla potrzeb analiz cen rynkowych nieruchomości.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
WPROWADZENIE 
1. Treści kształcenia. Regulamin przedmiotu.
2. Przypomnienie podstawowych wiadomości z zakresu wyceny nieruchomości.
3. Cele wyceny dla potrzeb gospodarki przestrzennej.
4. Wycena nieruchomości dla potrzeb planistycznych wynikających ze zmiany przeznaczenia funkcjonalnego gruntu i związanego z tym wzrostu lub spadku wartości nieruchomości - opłata planistyczna i roszczenia odszkodowawcze. 
PROGNOZA SKUTKÓW FINANSOWYCH UCHWALANIA LUB ZMIANY PLANU MIEJSCOWEGO
1. Treść i charakter prawny miejscowego planu zagospodarowania przestrzennego.
2. Udział rzeczoznawcy majątkowego w zespole opracowującym miejscowy plan zagospodarowania przestrzennego
3. Dochody i wydatki jakie może generować uchwalenie lub zmiana miejscowego planu zagospodarowania przestrzennego.
WYCENA NIERUCHOMOŚCI DLA POTRZEB USTALENIA OPŁAT ADIACENCKICH
- z tytułu doprowadzenia urządzeń infrastruktury technicznej,
- z tytułu podziału nieruchomości,
- z tytułu scalenia i podziału nieruchomości.
PRAWO UŻYTKOWANIA WIECZYSTEGO
1. Wycena prawa użytkowania wieczystego.
2. Aktualizacja opłat z tytułu użytkowania wieczystego gruntu z uwzględnieniem nakładów poniesionych przez użytkownika wieczystego. 
3. Przekształcenie prawa użytkowania wieczystego gruntu w prawo własności.
WYCENA OGRANICZONYCH PRAW RZECZOWYCH
I. Zasady wyceny ograniczonych praw rzeczowych.
II. Przykłady wycen:
1. Określenie prawa użytkowania.
2. Określenie wartości nieruchomości obciążanej prawem służebności osobistej dla potrzeb sprzedaży nieruchomości.
3. Określenie wartości służebności gruntowej dla potrzeb określenia wysokości wynagrodzenia z tytułu ustanowienia służebności.
4. Określenie wartości służebności gruntowej dla potrzeb wywłaszczenia.
5. Określenie wartości służebności przesyłu oraz wynagrodzenia za bezumowne korzystanie z nie-ruchomości przez przedsiębiorców przesyłowych.
6. Określenie wartości spółdzielczego własnościowego prawa do lokalu dla potrzeb przekształceń.
WYCENA PRAWA DOŻYWOCIA 
ODSZKODOWANIA I ZWROTY Z TYTUŁU WYWŁASZCZENIA NIERUCHOMOŚCI
WYCENA NIERUCHOMOŚCI PRZEZNACZONYCH LUB ZAJĘTYCH POD DROGI PUBLICZNE
1. Cele wyceny.
2. Nabywanie nieruchomości pod drogi publiczne w trybie: „specustawy drogowej”.
3. Ustalenie wysokości odszkodowania.
4. Doświadczenia z praktyki wyceny nieruchomości pod drogi w Polsce.
5. Zasady dokonywania wywłaszczeń i procedury wyceny w wybranych krajach Unii Europejskiej.
WPŁYW PROCESU REPRYWATYZACJI NA GOSPODARKĘ PRZESTRZENNĄ
1. Ustawa z dnia 25 czerwca 2015 r. o zmianie ustawy o gospodarce nieruchomościami oraz ustawy – Kodeks rodzinny i opiekuńczy. 
2. Proces reprywatyzacji gruntów w Warszawie.
ĆWICZENIA PROJEKTOWE:
1.	Badanie zmian funkcjonalnych przeznaczenia terenu i ich wpływu na ocenę skutków finansowych uchwalenia planu. 
2.	Projekt operatu szacunkowego z określenia wartości rynkowej nieruchomości gruntowej nie-zabudowanej według przeznaczenia przed i po wprowadzeniu (zmiany) miejscowego planu zagospodarowania przestrzennego dla potrzeb naliczenia opłaty planistycznej.</w:t>
      </w:r>
    </w:p>
    <w:p>
      <w:pPr>
        <w:keepNext w:val="1"/>
        <w:spacing w:after="10"/>
      </w:pPr>
      <w:r>
        <w:rPr>
          <w:b/>
          <w:bCs/>
        </w:rPr>
        <w:t xml:space="preserve">Metody oceny: </w:t>
      </w:r>
    </w:p>
    <w:p>
      <w:pPr>
        <w:spacing w:before="20" w:after="190"/>
      </w:pPr>
      <w:r>
        <w:rPr/>
        <w:t xml:space="preserve">Przedmiot obejmuje dwie formy zajęć: wykłady i ćwiczenia projektowe.
FORMA ZALICZENIA ĆWICZEŃ PROJEKTOWYCH:
1.	Warunkiem zaliczenia ćwiczeń jest prawidłowe wykonanie i obrona wszystkich projektów przewidzianych programem zajęć.
2.	Formę i zakres projektów określa prowadzący ćwiczenia. 
3.	Wykonanie poszczególnych etapów projektu będzie sprawdzane na bieżąco. Dwukrotne nieprzygotowanie się do ćwiczeń skutkuje obniżeniem o pół stopnia oceny z projektu.
4.	Student jest zobowiązany dostarczyć projekty w formie pisemnej i elektronicznej (pdf) w terminie wskazanym przez prowadzącego.
5.	Trzykrotna nieobecność na ćwiczeniach w ciągu semestru powoduje niezaliczenie ćwiczeń.
6.	Nieobecność na zajęciach nie zwalnia studenta z obowiązku rozliczenia się z poprzednich zajęć i przygotowania się do następnych zajęć z realizacji poszczególnych etapów projektu.
FORMA ZALICZENIA WYKŁADU:
1.	Zaliczenie odbywa się na podstawie dwóch sprawdzianów w trakcie trwania semestru.
2.	Sprawdziany obejmują zagadnienia teoretyczne oraz krótkie zadania obliczeniowe i problemowe.
3.	Warunkiem zaliczenia sprawdzianu jest uzyskanie minimum 51% punktów.
4.	Terminy sprawdzianów wskazuje prowadzący na pierwszych zajęciach. 
5.	Podczas sprawdzianu nie dopuszcza się korzystania z materiałów pomocniczych oraz urządzeń elektronicznych (telefony, tablety itp. muszą być wyłączone i pozostawione w wyznaczonym przez egzaminującego miejscu).
6.	Wyniki ze sprawdzianów przekazywane są studentom za pomocą poczty elektronicznej lub za pomocą wirtualnego dziekanatu (Verbis).
7.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Ocenę łączną ustala się na podstawie średniej ważonej z zaliczenia wykładu (waga 2) i ćwiczeń (waga 1),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prawne (stan prawny aktualny na okres realizacji wykładów i ćwiczeń):
1. Ustawa z dnia 21 sierpnia 1997 r. o gospodarce nieruchomościami (t.j. Dz. U. z 2016 r., poz. 2147 z późn. zm.).
2. Ustawa z dnia 23 kwietnia 1964 r. Kodeks cywilny.
3. Ustawa z dnia 27 marca 2003 r. o planowaniu i zagospodarowaniu przestrzennym.
4. Ustawa z dnia 10 kwietnia 2003 r. o szczególnych zasadach przygotowania i realizacji inwestycji w zakresie dróg publicznych.
5. Ustawa z dnia 29 lipca 2005 r. o przekształceniu prawa użytkowania wieczystego w prawo własności nieruchomości.
6. Ustawa z dnia 15 grudnia 2000 r. o spółdzielniach mieszkaniowych.
7. Ustawa z dnia 14 kwietnia 2016 r. o wstrzymaniu sprzedaży nieruchomości Zasobu Własności Rolnej Skarbu Państwa oraz o zmianie niektórych ustaw.
8. Rozporządzenie Rady Ministrów z dnia 21 września 2004 r. w sprawie wyceny nieruchomości i sporządzania operatu szacunkowego (Dz.U. z 2004 r. Nr 207, poz. 2109).
9. Rozporządzenie Rady Ministrów z dnia 27 września 2005 r. zmieniające rozporządzenie w sprawie wyceny nieruchomości i sporządzania operatu szacunkowego (Dz.U. z 2005 r. Nr 196, poz. 1628).
10. Rozporządzenie Rady Ministrów z dnia 14 lipca 2011 r. zmieniające rozporządzenie w sprawie wyceny nieruchomości i sporządzania operatu szacunkowego (Dz.U. z 2011 r. Nr 165, poz. 985).
Publikacje:
1. Dydenko J. (red.), Szacowanie nieruchomości. Rzeczoznawstwo majątkowe. LEX Grupa Wolters Kluwer, Warszawa 2015.
2. Cymerman R. (red.) Opłaty adiacenckie. Educaterra, Warszawa 2012.
3. Horoszko M., Pęchorzewski D. (red.), Gospodarka nieruchomościami. Komentarz. C.H.Beck, Warszawa 2014.
4. Prystupa M., Wycena nieruchomości przy zastosowaniu podejścia porównawczego. PFSRM, Warszawa 2003.
5. Wolanin M., Ustawa o szczególnych zasadach przygotowania i realizacji inwestycji w zakresie dróg publicznych. Komentarz. C.H.Beck, Warszawa 2010.
6. Wolanin M., Podziały, scalenia i rozgraniczenia nieruchomości. C.H.Beck, Warszawa 2013.
Podstawy metodologiczne:
1. KRAJOWE STANDARDY WYCENY SPECJALISTYCZNE:
- Określanie wartości ograniczonych praw rzeczowych (uchwalony w dniu 07.04.2014 r.).
- Określanie wartości służebności przesyłu oraz wynagrodzenia za bezumowne korzystanie z nieruchomości przez przedsiębiorców przesyłowych (uchwalony w dniu 08.12.2014 r.).
- Wycena nieruchomości rolnych (uchwalony w dniu 29.05.2015 r.).
2. NOTY INTERPRETACYJNE:
- Zastosowanie podejścia porównawczego w wycenie nieruchomości.
- Zastosowanie podejścia dochodowego w wycenie nieruchomości.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GP.SMS258_W1: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GP.SMS258_W2: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GP.SMS258_U1: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K_U02, K_U03, K_U05, K_U06</w:t>
      </w:r>
    </w:p>
    <w:p>
      <w:pPr>
        <w:spacing w:before="20" w:after="190"/>
      </w:pPr>
      <w:r>
        <w:rPr>
          <w:b/>
          <w:bCs/>
        </w:rPr>
        <w:t xml:space="preserve">Powiązane efekty obszarowe: </w:t>
      </w:r>
      <w:r>
        <w:rPr/>
        <w:t xml:space="preserve">T2A_U01, T2A_U02, T2A_U03, S2A_U06, S2A_U07, P2A_U04, P2A_U08</w:t>
      </w:r>
    </w:p>
    <w:p>
      <w:pPr>
        <w:keepNext w:val="1"/>
        <w:spacing w:after="10"/>
      </w:pPr>
      <w:r>
        <w:rPr>
          <w:b/>
          <w:bCs/>
        </w:rPr>
        <w:t xml:space="preserve">Efekt GP.SMS258_U2: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K_U13_SR</w:t>
      </w:r>
    </w:p>
    <w:p>
      <w:pPr>
        <w:spacing w:before="20" w:after="190"/>
      </w:pPr>
      <w:r>
        <w:rPr>
          <w:b/>
          <w:bCs/>
        </w:rPr>
        <w:t xml:space="preserve">Powiązane efekty obszarowe: </w:t>
      </w:r>
      <w:r>
        <w:rPr/>
        <w:t xml:space="preserve">T2A_U09</w:t>
      </w:r>
    </w:p>
    <w:p>
      <w:pPr>
        <w:keepNext w:val="1"/>
        <w:spacing w:after="10"/>
      </w:pPr>
      <w:r>
        <w:rPr>
          <w:b/>
          <w:bCs/>
        </w:rPr>
        <w:t xml:space="preserve">Efekt GP.SMS258_U3: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S2A_U04</w:t>
      </w:r>
    </w:p>
    <w:p>
      <w:pPr>
        <w:pStyle w:val="Heading3"/>
      </w:pPr>
      <w:bookmarkStart w:id="4" w:name="_Toc4"/>
      <w:r>
        <w:t>Profil ogólnoakademicki - kompetencje społeczne</w:t>
      </w:r>
      <w:bookmarkEnd w:id="4"/>
    </w:p>
    <w:p>
      <w:pPr>
        <w:keepNext w:val="1"/>
        <w:spacing w:after="10"/>
      </w:pPr>
      <w:r>
        <w:rPr>
          <w:b/>
          <w:bCs/>
        </w:rPr>
        <w:t xml:space="preserve">Efekt GP.SMS258_K1: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2024-05-06T06:03:48+02:00</dcterms:created>
  <dcterms:modified xsi:type="dcterms:W3CDTF">2024-05-06T06:03:48+02:00</dcterms:modified>
</cp:coreProperties>
</file>

<file path=docProps/custom.xml><?xml version="1.0" encoding="utf-8"?>
<Properties xmlns="http://schemas.openxmlformats.org/officeDocument/2006/custom-properties" xmlns:vt="http://schemas.openxmlformats.org/officeDocument/2006/docPropsVTypes"/>
</file>