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prof. nzw. dr hab.inż.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MTZ</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35 godz.
•	wykład – 30 godz. 
•	konsultacje - 5 godz.
2)	Praca własna studenta – 40 godz. w tym:
•	przygotowanie do wykładów - 15 godz.,
•	przygotowanie do kolokwiów- 25 godz.,
RAZEM 75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- 35 godz.
•	wykład – 30 godz. 
•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głównymi zagadnieniami dotyczącymi materiałów oraz związaną z tym terminologią oraz z zasadami doboru materiałów do zastosowań biomedycznych pod kątem kształtowania ich struktury i właściwości.</w:t>
      </w:r>
    </w:p>
    <w:p>
      <w:pPr>
        <w:keepNext w:val="1"/>
        <w:spacing w:after="10"/>
      </w:pPr>
      <w:r>
        <w:rPr>
          <w:b/>
          <w:bCs/>
        </w:rPr>
        <w:t xml:space="preserve">Treści kształcenia: </w:t>
      </w:r>
    </w:p>
    <w:p>
      <w:pPr>
        <w:spacing w:before="20" w:after="190"/>
      </w:pPr>
      <w:r>
        <w:rPr/>
        <w:t xml:space="preserve">Podstawy krystalografii - Klasyfikacja ciał stałychpod względem ich budowy - struktury. Podstawy opisu budowy ciał krystalicznych (4h). Struktura materiałów. Poziomy rozpatrywania struktury, mikrostruktura, możliwości kształtowania struktury. Badania struktury(4h). Właściwości materiałów. Właściwości mechaniczne, cieplne, elektryczne, magnetyczne, optyczne, biologiczne. Poziomy struktury odpowiedzialne za właściwości materiałów. Metody badania właściwości materiałów (4h). Zależność między strukturą a właściwościami materiałów. Rola różnych grup materiałów w technice. Główne czynniki wpływające na zastosowania poszczególnych materiałów. Podstawowe zasady doboru materiałów do różnych zastosowań(4h). Klasyfikacja materiałów. Metale i ich stopy, materiały ceramiczne, tworzywa sztuczne, kompozyty. Charakterystyka podstawowych grup tworzyw metalicznych. Charakterystyka wybranych tworzyw ceramicznych. Kompozyty o osnowie polimerowej, metalicznej i ceramicznej. Materiały amorficzne, mono- i poli-krystaliczne. Materiały nanokrystaliczne. Materiały z gradientem struktury. Warstwy i powłoki. Układy zdyspergowane(4h). Technologie materiałowe. Odlewanie. Obróbka ubytkowa. Przeróbka plastyczna. Przegląd współczesnych technik wytwarzania. Łączenie materiałów. Inżynieria powierzchni(4h). Zastosowanie materiałów w medycynie i inżynierii biomedycznej. Implanty. Sztuczne narządy. Inżynieria tkankowa. Wymagania stawiane materiałom stosowanym w medycynie i inżynierii biomedycznej oraz metody oceny ich właściwości(4h).</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MTZ_W01: </w:t>
      </w:r>
    </w:p>
    <w:p>
      <w:pPr/>
      <w:r>
        <w:rPr/>
        <w:t xml:space="preserve">Zna podstawy krystalografii. Podstawy opisu budowy ciał krystalicznych.</w:t>
      </w:r>
    </w:p>
    <w:p>
      <w:pPr>
        <w:spacing w:before="60"/>
      </w:pPr>
      <w:r>
        <w:rPr/>
        <w:t xml:space="preserve">Weryfikacja: </w:t>
      </w:r>
    </w:p>
    <w:p>
      <w:pPr>
        <w:spacing w:before="20" w:after="190"/>
      </w:pPr>
      <w:r>
        <w:rPr/>
        <w:t xml:space="preserve">zaliczenia kolokwiów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MTZ _W2: </w:t>
      </w:r>
    </w:p>
    <w:p>
      <w:pPr/>
      <w:r>
        <w:rPr/>
        <w:t xml:space="preserve">Zna właściwości materiałów (mechaniczne, cieplne, elektryczne, magnetyczne, optyczne, biologiczne) oraz metody badania właściwości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MTZ _W3: </w:t>
      </w:r>
    </w:p>
    <w:p>
      <w:pPr/>
      <w:r>
        <w:rPr/>
        <w:t xml:space="preserve">Zna zastosowanie materiałów w medycynie 
i inżynierii biomedycznej (implanty, sztuczne narządy.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MTZ_U01: </w:t>
      </w:r>
    </w:p>
    <w:p>
      <w:pPr/>
      <w:r>
        <w:rPr/>
        <w:t xml:space="preserve">Umie dobrać materiały do zastosowań w sprzęcie medycznym</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K_U16, K_U18</w:t>
      </w:r>
    </w:p>
    <w:p>
      <w:pPr>
        <w:spacing w:before="20" w:after="190"/>
      </w:pPr>
      <w:r>
        <w:rPr>
          <w:b/>
          <w:bCs/>
        </w:rPr>
        <w:t xml:space="preserve">Powiązane efekty obszarowe: </w:t>
      </w:r>
      <w:r>
        <w:rPr/>
        <w:t xml:space="preserve">T1A_U08, T1A_U09, T1A_U13,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2026-05-30T03:49:01+02:00</dcterms:created>
  <dcterms:modified xsi:type="dcterms:W3CDTF">2026-05-30T03:49:01+02:00</dcterms:modified>
</cp:coreProperties>
</file>

<file path=docProps/custom.xml><?xml version="1.0" encoding="utf-8"?>
<Properties xmlns="http://schemas.openxmlformats.org/officeDocument/2006/custom-properties" xmlns:vt="http://schemas.openxmlformats.org/officeDocument/2006/docPropsVTypes"/>
</file>