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(20h):
a) Laboratorium: 20h;
2) Liczba godzin pracy własnej studenta (40h): 
a) Przygotowanie do zajęć laboratoryjnych: 20h;
b) Opracowanie sprawozdań z ćwiczeń laboratoryjnych: 20h;
Razem: 60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(20h):
a) Laboratorium: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- 40h w tym:
a) Laboratorium: 20h;
b) Opracowanie sprawozdań z ćwiczeń laboratoryjnych: 20h;
Razem: 40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2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FIZ3z_nst_W01: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T2A_W02, T2A_W04</w:t>
      </w:r>
    </w:p>
    <w:p>
      <w:pPr>
        <w:pStyle w:val="Heading3"/>
      </w:pPr>
      <w:bookmarkStart w:id="3" w:name="_Toc3"/>
      <w:r>
        <w:t>Profil ogólnoakademicki - umiejętności</w:t>
      </w:r>
      <w:bookmarkEnd w:id="3"/>
    </w:p>
    <w:p>
      <w:pPr>
        <w:keepNext w:val="1"/>
        <w:spacing w:after="10"/>
      </w:pPr>
      <w:r>
        <w:rPr>
          <w:b/>
          <w:bCs/>
        </w:rPr>
        <w:t xml:space="preserve">Efekt FIZ3z_nst_U01: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FIZ3z_nst_U02: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FIZ3z_nst_U03: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T1A_U02, T1A_U08, T1A_U09</w:t>
      </w:r>
    </w:p>
    <w:p>
      <w:pPr>
        <w:keepNext w:val="1"/>
        <w:spacing w:after="10"/>
      </w:pPr>
      <w:r>
        <w:rPr>
          <w:b/>
          <w:bCs/>
        </w:rPr>
        <w:t xml:space="preserve">Efekt FIZ3z_nst_U04: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FIZ3z_nst_K01: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2024-05-02T13:35:24+02:00</dcterms:created>
  <dcterms:modified xsi:type="dcterms:W3CDTF">2024-05-02T13:35:24+02:00</dcterms:modified>
</cp:coreProperties>
</file>

<file path=docProps/custom.xml><?xml version="1.0" encoding="utf-8"?>
<Properties xmlns="http://schemas.openxmlformats.org/officeDocument/2006/custom-properties" xmlns:vt="http://schemas.openxmlformats.org/officeDocument/2006/docPropsVTypes"/>
</file>