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OWM3_W01: </w:t>
      </w:r>
    </w:p>
    <w:p>
      <w:pPr/>
      <w:r>
        <w:rPr/>
        <w:t xml:space="preserve">Ma wiedzę z zagadnień szczegółowych z zakresu automatyki i robotyki oraz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OWM3_U01: </w:t>
      </w:r>
    </w:p>
    <w:p>
      <w:pPr/>
      <w:r>
        <w:rPr/>
        <w:t xml:space="preserve">Potrafi wykonać zadanie projektowe z zakresu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T2A_U07, T2A_U19, T2A_U14, T2A_U17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2026-05-30T00:09:03+02:00</dcterms:created>
  <dcterms:modified xsi:type="dcterms:W3CDTF">2026-05-30T00:09:03+02:00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