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Praca dyplomowa magisterska wykazuje także umiejętności studenta dotyczące korzystania z metod badawczych i analitycznych oraz umiejętność definiowania i rozwiązywania problemów z danej dziedziny.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prac zatwierdzone przez dyrektora instytutu prowadzącego specjalność są podawane do wiadomości studentów poprzez umieszczenie ich na tablicach lub stronach internetowych dyplomującego zakładu.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przez promotora i recenzenta oraz ocena obrony pracy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PDM_W01: </w:t>
      </w:r>
    </w:p>
    <w:p>
      <w:pPr/>
      <w:r>
        <w:rPr/>
        <w:t xml:space="preserve">Ma wiedzę z zagadnień szczegółowych z zakresu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PDM_W02: </w:t>
      </w:r>
    </w:p>
    <w:p>
      <w:pPr/>
      <w:r>
        <w:rPr/>
        <w:t xml:space="preserve">Zna podstawy matematyczne i fizyczne rozpatrywanych w ramach pracy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PDM_U01: </w:t>
      </w:r>
    </w:p>
    <w:p>
      <w:pPr/>
      <w:r>
        <w:rPr/>
        <w:t xml:space="preserve">Umie przeprowadzić analizę stanu techniki w związku z opracowywanym zagadnieniem szczegółowym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T2A_U04</w:t>
      </w:r>
    </w:p>
    <w:p>
      <w:pPr>
        <w:keepNext w:val="1"/>
        <w:spacing w:after="10"/>
      </w:pPr>
      <w:r>
        <w:rPr>
          <w:b/>
          <w:bCs/>
        </w:rPr>
        <w:t xml:space="preserve">Efekt PDM_U02: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PDM_U03: </w:t>
      </w:r>
    </w:p>
    <w:p>
      <w:pPr/>
      <w:r>
        <w:rPr/>
        <w:t xml:space="preserve">Potrafi zaproponować oryginalne rozwiązanie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T2A_U08, T2A_U10, T2A_U11,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PDM_U04: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PDM_K01: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PDM_K02: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2024-05-08T04:00:13+02:00</dcterms:created>
  <dcterms:modified xsi:type="dcterms:W3CDTF">2024-05-08T04:00:13+02:00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