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OWM3_W01: </w:t>
      </w:r>
    </w:p>
    <w:p>
      <w:pPr/>
      <w:r>
        <w:rPr/>
        <w:t xml:space="preserve">Ma wiedzę z zagadnień szczegółowych z zakresu automatyki i robotyki oraz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OWM3_U01: </w:t>
      </w:r>
    </w:p>
    <w:p>
      <w:pPr/>
      <w:r>
        <w:rPr/>
        <w:t xml:space="preserve">Potrafi wykonać zadanie projektowe z zakresu mechatroniki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K_U12, K_U18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T2A_U10, T2A_U11, T2A_U15, T2A_U16, T2A_U18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2026-06-27T22:48:13+02:00</dcterms:created>
  <dcterms:modified xsi:type="dcterms:W3CDTF">2026-06-27T22:48:13+02:00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