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Kompetencje w zakresie podstawianej znajomości i umiejętność stosowania matematyki, fizyki, mechaniki, elektroniki, form zapisu w projektowaniu w mechatronice, wytworzenia urządzeń mechatronicznych,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rozwiązywania problemu badawczego lub projektowego, samodzielnego pogłębienia wiedzy z wybranego zakresu tematycznego w obszarze mechatroniki. Zdobycie umiejętności samodzielnego organizowania czasu pracy, realizacji założonego harmonogramu oraz raportowania.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zastosowanie wiedza i umiejętności związane z rozwiązanie zagadnienia szczegółowego z obszaru mechatroniki. Nabycie umiejętności organizacji pracy i sprawozdawania osiągnięć inżynierskich lub wykonania dokumentacji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 lub badawczych, zaangażowania, systematyczności pracy i poprawności wykonania dokumentacji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wskazane przez opiekuna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PP_W01: </w:t>
      </w:r>
    </w:p>
    <w:p>
      <w:pPr/>
      <w:r>
        <w:rPr/>
        <w:t xml:space="preserve">Ma pogłębioną wiedzę dotyczącą zagadnienia szczegółowego z obszaru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PP_U01: </w:t>
      </w:r>
    </w:p>
    <w:p>
      <w:pPr/>
      <w:r>
        <w:rPr/>
        <w:t xml:space="preserve">Umie zrealizować obszerne zadanie badawcze lub projektowe z obszaru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PP_K02: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2024-05-03T16:05:47+02:00</dcterms:created>
  <dcterms:modified xsi:type="dcterms:W3CDTF">2024-05-03T16:05:47+02:00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