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podstawianej znajomości i umiejętność stosowania matematyki, fizyki, mechaniki, elektroniki, form zapisu w projektowaniu w mechatronice, wytworzenia urządzeń mechatronicznych,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mechatroniki.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mechatroniki.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PP_W01: </w:t>
      </w:r>
    </w:p>
    <w:p>
      <w:pPr/>
      <w:r>
        <w:rPr/>
        <w:t xml:space="preserve">Ma pogłębioną wiedzę dotyczącą zagadnienia szczegółowego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Umie zrealizować obszerne zadanie badawcze lub projektowe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PP_K02: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2026-07-27T08:08:57+02:00</dcterms:created>
  <dcterms:modified xsi:type="dcterms:W3CDTF">2026-07-27T08:08:57+02:00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