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SDM2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 spotkania seminaryjne
10 godz. przygotowanie prezentacji 
20 godz. przygotowanie artykułu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godz. co daje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godz. przygotowanie prezentacji
1 godz. przeprowadzenie prezentacji w trakcie seminarium
20 godz. przygotowanie artykułu
w sumie 31 godz. co daje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do:
- jasnego przedstawienia kryteriów i uwarunkowań rozwiązania złożonego problemu inżynierskiego lub badawczego, 
- doboru literatury i jej krytycznej analizy, 
- przygotowania prezentacji,
- wygłoszenia referatu i obrony w trakcie dyskusji zawartych w nim tez,
- napisania artykułu,
- sformatowania artykułu zgodnie z podanym wzorcem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podlega:
- przygotowanie prezentacji
- wygłoszenie referatu oraz przygotowanie do dyskusji nad referatem
- napisanie referatu w formie artykułu
- sformatowanie artykułu zgodnie z zadanym wzorcem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SDM2_U01: </w:t>
      </w:r>
    </w:p>
    <w:p>
      <w:pPr/>
      <w:r>
        <w:rPr/>
        <w:t xml:space="preserve">potrafi odnaleźć, właściwie dobrać i wykorzystać źródła informacji oraz przedstawić ich krytyczną analizę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bibliografia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</w:t>
      </w:r>
    </w:p>
    <w:p>
      <w:pPr>
        <w:keepNext w:val="1"/>
        <w:spacing w:after="10"/>
      </w:pPr>
      <w:r>
        <w:rPr>
          <w:b/>
          <w:bCs/>
        </w:rPr>
        <w:t xml:space="preserve">Efekt SDM2_U02: </w:t>
      </w:r>
    </w:p>
    <w:p>
      <w:pPr/>
      <w:r>
        <w:rPr/>
        <w:t xml:space="preserve">potrafi przygotować prezentację na temat opracowanego referatu, oraz wygłosić referat korzystając z tej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SDM2_U03: </w:t>
      </w:r>
    </w:p>
    <w:p>
      <w:pPr/>
      <w:r>
        <w:rPr/>
        <w:t xml:space="preserve">potrafi przygotować referat w postaci artykułu, zgodnie z podanym wzorcem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napisany artykuł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SDM2_K01: </w:t>
      </w:r>
    </w:p>
    <w:p>
      <w:pPr/>
      <w:r>
        <w:rPr/>
        <w:t xml:space="preserve">ma świadomość wagi jasnego przekazywania informacji i opinii dotyczących osiągnięć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2026-05-30T00:47:33+02:00</dcterms:created>
  <dcterms:modified xsi:type="dcterms:W3CDTF">2026-05-30T00:47:33+02:00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