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ESO_W01: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ESO_W03: </w:t>
      </w:r>
    </w:p>
    <w:p>
      <w:pPr/>
      <w:r>
        <w:rPr/>
        <w:t xml:space="preserve"> Student posiada podstawową wiedzę na temat zasady działania optoelektronicznych systemów obrazowania w podczerwieni (noktowizja i termowizja),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ESO_U01: </w:t>
      </w:r>
    </w:p>
    <w:p>
      <w:pPr/>
      <w:r>
        <w:rPr/>
        <w:t xml:space="preserve">Student potrafi opisać zagadnienia związane z programem wykładu i laboratorium.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T1A_U15,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ESO_U03: </w:t>
      </w:r>
    </w:p>
    <w:p>
      <w:pPr/>
      <w:r>
        <w:rPr/>
        <w:t xml:space="preserve">Student potrafi scharakteryzować parametry toru światłowodowego, a w szczególności: 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2026-08-18T21:46:42+02:00</dcterms:created>
  <dcterms:modified xsi:type="dcterms:W3CDTF">2026-08-18T21:46:42+02:00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