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1150-MBMRC-ISP-0409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laboratorium - 15 godz.
2) Praca własna studenta - 45 godz, w tym 
a)	10 godz. – przygotowywanie się do ćwiczeń laboratoryjnych,
b)	10 godz. – studia literaturowe,
c)	15 godz. – opracowanie wyników, przygotowanie sprawozdań,
d)	10 godz. - przygotowywanie się do sprawdzianów, kolokwiów.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- 30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- 45 godz., w tym:
1)	15 godz. - ćwiczenia laboratoryjne,
2)	10 godz. – przygotowywanie się do ćwiczeń laboratoryjnych,
3)	15 godz. – opracowanie wyników, przygotowanie sprawozdań,
4)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Dyrektywa dźwigowa, normy zharmonizowane.
Usytuowanie dźwigu w budynku. Szyby całkowicie obudowane, panoramiczne. Przestrzenie w szybie dźwigowym (nadszybie, podszybie). Wymagania dotyczące szybu, maszynowni i linowni. 
Zagadnienia logistyczne. Transport pomiędzy piętrami. Cykl pracy dźwigu. Przebieg prędkości jazdy. Dobór parametrów użytkowych dźwigu i liczby dźwigów do obiektu. 
Budowa i zasada działania dźwigu elektrycznego (ciernego). Podstawowe układy kinematyczne dźwigów ciernych.
Teoria sprzężenia ciernego. Współczynnik udźwigu. Siły w cięgnach nośnych. Cięgna kompensacyjne. Stany statyczne i dynamiczne.
Wciągarka dźwigu. Sterowanie pracą silnika elektrycznego. Wciągarki reduktorowe, bezreduktorowe.
Budowa dźwigu hydraulicznego. Hydrauliczny układ napędu i sterowania; siłowniki i bloki zaworowe.
Zespoły bezpieczeństwa (chwytacze, rygle, układy ogranicznika prędkości, lina bezpieczeństwa, zderzaki, bezpieczniki rurociągu). Najazd kabiny na zderzaki.
Pozostałe zagadnienia bezpieczeństwa. Zabezpieczenia techniczne (warunki sprzężenia ciernego, strefa odryglowania, łączniki bezpieczeństwa,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Ocena zgodności.
Nadzór nad bezpieczną eksploatacją dźwigów – UDT, TDT, WDT. Konserwacja, badania okresowe, naprawy modernizacje.
Laboratorium 
Ocena sprzężenia ciernego dźwigu elektrycznego.
Badania pasowego układu cięgnowego dźwigu.
Badania energochłonności układu napędowego dźwigu hydraulicznego. 
Algorytm systemu sterowania dźwigiem osobowym.
Badania własności układów cięgnowych.
Dynamika układów podnoszenia dźwigów elektrycznych.
</w:t>
      </w:r>
    </w:p>
    <w:p>
      <w:pPr>
        <w:keepNext w:val="1"/>
        <w:spacing w:after="10"/>
      </w:pPr>
      <w:r>
        <w:rPr>
          <w:b/>
          <w:bCs/>
        </w:rPr>
        <w:t xml:space="preserve">Metody oceny: </w:t>
      </w:r>
    </w:p>
    <w:p>
      <w:pPr>
        <w:spacing w:before="20" w:after="190"/>
      </w:pPr>
      <w:r>
        <w:rPr/>
        <w:t xml:space="preserve">Wykład – kolokwia. Laboratorium – krótki sprawdzian ustny/pisemny (wejściówka), ocena sprawozdań.
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Pozytywną ocenę uzyskuje się po zaliczeniu „wejściówki”, poprawnie wykonanym ćwiczeniu i oddaniu sprawozdania.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WYBRANE PROBLEMY BUDOWY I PROJEKTOWANIA DŹWIGÓW, Jankowiak A., Szymański M., OWPW, Warszawa, 2017.
4. DŹWIGI HYDRAULICZNE, Jeżowski R., PSPD, Warszawa, 2017.
5. ELECTRIC LIFTS, Philips, R.S., Sir Isaac Pitman &amp; Sons Ltd, London, 1966.
6. KONSERWACJA DŹWIGÓW ELEKTRYCZNYCH, Chimiak, M., Wydawnictwo KaBe, Krosno, 2008.
7. BUDOWA I KONSERWACJA URZĄDZEŃ DO PRZEMIESZCZANIA OSÓB NIEPEŁNOSPRAWNYCH, Chimiak M., Wydawnictwo KaBe, Krosno, 2013.
8. OBSŁUGA DŹWIGÓW, Buczek K., , Wydawnictwo KaBe, Krosno, 2007.
9.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http://www.simr.pw.edu.pl/imrc/Instytut-Maszyn-Roboczych-Ciezkich/Dydaktyka/Przedmioty-obowiazkowe/Dzwigi-osobowe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1150-MBMRC-ISP-0409_W1: </w:t>
      </w:r>
    </w:p>
    <w:p>
      <w:pPr/>
      <w:r>
        <w:rPr/>
        <w:t xml:space="preserve">Potrafi przygotować i wykonać odpowiednie pomiary pozwalające na diagnostykę wybranych procesów w pracy dźwigu. </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KMChtr_W02, KMChtr_W04, KMchtr_W06, KMchtr_W07, KMChtr_W08, KMchtr_W11, KMchtr_W12, KMchtr_W15, KMchtr_W16, KMChtr_W17, KMchtr_W18</w:t>
      </w:r>
    </w:p>
    <w:p>
      <w:pPr>
        <w:spacing w:before="20" w:after="190"/>
      </w:pPr>
      <w:r>
        <w:rPr>
          <w:b/>
          <w:bCs/>
        </w:rPr>
        <w:t xml:space="preserve">Powiązane efekty obszarowe: </w:t>
      </w:r>
      <w:r>
        <w:rPr/>
        <w:t xml:space="preserve">T1A_W01, T1A_W02, T1A_W03, T1A_W04, InzA_W02, 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1150-MBMRC-ISP-0409_U1: </w:t>
      </w:r>
    </w:p>
    <w:p>
      <w:pPr/>
      <w:r>
        <w:rPr/>
        <w:t xml:space="preserve">Potrafi zidentyfikować zastosowane rozwiązanie konstrukcyjne i określić najważniejsze aspekty działania dźwigu osobowego.</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keepNext w:val="1"/>
        <w:spacing w:after="10"/>
      </w:pPr>
      <w:r>
        <w:rPr>
          <w:b/>
          <w:bCs/>
        </w:rPr>
        <w:t xml:space="preserve">Efekt 1150-MBMRC-ISP-0409_U2: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1150-MBMRC-ISP-0409_U3: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1150-MBMRC-ISP-0409_U4: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KMchtr_U08, KMchtr_U09, KMchtr_U10, KMchtr_U11, KMChtr_U16, KMchtr_U17, KMchtr_U18, KMchtr_U19, KMchtr_U20, KMchtr_U21, KMchtr_U24</w:t>
      </w:r>
    </w:p>
    <w:p>
      <w:pPr>
        <w:spacing w:before="20" w:after="190"/>
      </w:pPr>
      <w:r>
        <w:rPr>
          <w:b/>
          <w:bCs/>
        </w:rPr>
        <w:t xml:space="preserve">Powiązane efekty obszarowe: </w:t>
      </w:r>
      <w:r>
        <w:rPr/>
        <w:t xml:space="preserve">T1A_U08, T1A_U09, InzA_U01, T1A_U08, T1A_U09, InzA_U01, T1A_U09, T1A_U12, InzA_U03, InzA_U04, InzA_U05, T1A_U07, T1A_U08, T1A_U09, InzA_U01, InzA_U02, T1A_U07, T1A_U08, InzA_U01, T1A_U08, T1A_U09, T1A_U10, T1A_U08, T1A_U09, T1A_U15, T1A_U16, T1A_U12, T1A_U16, InzA_U04, T1A_U16, InzA_U08, T1A_U07, T1A_U09, InzA_U08, T1A_U15, InzA_U05</w:t>
      </w:r>
    </w:p>
    <w:p>
      <w:pPr>
        <w:keepNext w:val="1"/>
        <w:spacing w:after="10"/>
      </w:pPr>
      <w:r>
        <w:rPr>
          <w:b/>
          <w:bCs/>
        </w:rPr>
        <w:t xml:space="preserve">Efekt 1150-MBMRC-ISP-0409_U5: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1150-MBMRC-ISP-0409_K1: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2024-05-04T14:27:01+02:00</dcterms:created>
  <dcterms:modified xsi:type="dcterms:W3CDTF">2024-05-04T14:27:01+02:00</dcterms:modified>
</cp:coreProperties>
</file>

<file path=docProps/custom.xml><?xml version="1.0" encoding="utf-8"?>
<Properties xmlns="http://schemas.openxmlformats.org/officeDocument/2006/custom-properties" xmlns:vt="http://schemas.openxmlformats.org/officeDocument/2006/docPropsVTypes"/>
</file>