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1150-MBMRC-ISP-0409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- 30 godz.;
b)	laboratorium - 15 godz.
2) Praca własna studenta - 45 godz, w tym 
a)	10 godz. – przygotowywanie się do ćwiczeń laboratoryjnych,
b)	10 godz. – studia literaturowe,
c)	15 godz. – opracowanie wyników, przygotowanie sprawozdań,
d)	10 godz. - przygotowywanie się do sprawdzianów, kolokwiów.
3) RAZEM –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- 30 godz.;
b)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- 45 godz., w tym:
1)	15 godz. - ćwiczenia laboratoryjne,
2)	10 godz. – przygotowywanie się do ćwiczeń laboratoryjnych,
3)	15 godz. – opracowanie wyników, przygotowanie sprawozdań,
4)	5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Badania własności układów cięgnowych.
Dynamika układów podnoszenia dźwigów elektrycznych.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http://www.simr.pw.edu.pl/imrc/Instytut-Maszyn-Roboczych-Ciezkich/Dydaktyka/Przedmioty-obowiazkowe/Dzwigi-osobowe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1150-MBMRC-ISP-0409_U1: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1150-MBMRC-ISP-0409_U2: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1150-MBMRC-ISP-0409_U3: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1150-MBMRC-ISP-0409_U4: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T1A_U07, T1A_U08, InzA_U01, T1A_U08, T1A_U09, T1A_U10, T1A_U08, T1A_U09, T1A_U15, T1A_U16, T1A_U12, T1A_U16, InzA_U04, T1A_U16, InzA_U08, T1A_U07, T1A_U09, InzA_U08, T1A_U15, InzA_U05</w:t>
      </w:r>
    </w:p>
    <w:p>
      <w:pPr>
        <w:keepNext w:val="1"/>
        <w:spacing w:after="10"/>
      </w:pPr>
      <w:r>
        <w:rPr>
          <w:b/>
          <w:bCs/>
        </w:rPr>
        <w:t xml:space="preserve">Efekt 1150-MBMRC-ISP-0409_U5: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1150-MBMRC-ISP-0409_K1: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2026-08-18T19:41:32+02:00</dcterms:created>
  <dcterms:modified xsi:type="dcterms:W3CDTF">2026-08-18T19:41:32+02:00</dcterms:modified>
</cp:coreProperties>
</file>

<file path=docProps/custom.xml><?xml version="1.0" encoding="utf-8"?>
<Properties xmlns="http://schemas.openxmlformats.org/officeDocument/2006/custom-properties" xmlns:vt="http://schemas.openxmlformats.org/officeDocument/2006/docPropsVTypes"/>
</file>