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wytężenia wybranych elementów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21 godz., w tym:
•	wykład - 20 godz.;
•	konsultacje – 1 godz.
2) Praca własna studenta – 35 godz., w tym: 
•	studia literaturowe: 10 godz.
•	przygotowanie do zajęć: 15 godz.
•	przygotowanie do kolokwiów: 10 godz.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21 godz., w tym:
•	wykład - 20 godz.;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materiałów konstrukcyjnych (wysłuchanie wykładu Materiały Konstrukcyjne i zaliczenie przedmiotu). Wiedza z zakresu mechaniki materiałów (zaliczenie ćwiczeń z Wytrzymałości Materiałów I, II oraz zdanie egzaminu z Wytrzymałości Materiałów I,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studenta wybranych zagadnień oceny wytężenia elementów konstrukcji cienkościennych. Nabycie umiejętności wykonania podstawowych analiz wytrzymałościowych wybranych elementów konstrukcji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Hipotezy i kryteria wytężenia konstrukcji cienkościennych z punktu widzenia statyki (wybrane zagadnienia).
2.	Hipotezy i kryteria wytężenia konstrukcji cienkościennych z punktu widzenia wytrzymałości zmęczeniowej (wybrane zagadnienia).
3.	Wybrane elementy nośne konstrukcji cienkościennych w aspekcie wytrzymałości konstrukcji (podział i rola jako elementu cienkościennej struktury nośnej, sposób pracy, przenoszenie obciążeń, ocena wytężenia)
4.	Węzły konstrukcyjne struktur cienkościennych w aspekcie wytrzymałości konstrukcji (podział i rola węzłów, wprowadzanie sił skupionych w konstrukcje cienkościenne, węzły łączące zespoły główne struktur cienkościennych z innymi typami struktur nośnych)
5.	Praca konstrukcji cienkościennej po utracie stateczności (powyżej obciążeń krytycznych) – wybrane zagadnienia podstawowe.
6.	Elementy analiz zmęczeniowych konstrukcji cienkościennych.
7.	Elementy mechaniki pękania konstrukcji cienkościennych w aspekcie bezpieczeństwa konstrukcji.
8.	Badania konstrukcji cienkościennych, w tym lotniczych i innych.
9.	Alternatywne rozwiązania konstrukcji lekkich – konstrukcje geodetyczne, geodetyczno-powłokowe i inne.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kolokwiów ocenianych zgodnie z obowiązującą skalą ocen (ew. dodatkowa weryfikacja formy pisemnej w trakcie rozmowy ze studentem). Ocena końcowa z przedmiotu jest średnią arytmetyczną uzyskanych ocen z poszczególnych kolokwiów. Warunkiem zaliczenia przedmiotu jest uzyskanie pozytywnej oceny ze wszystkich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Wytrzymałość materiałów I, II: Z. Dyląg, A. Jakubowicz, Z. Orłoś, WNT, Tom I-1996, Tom II – 1997.
2.	Wytrzymałość materiałów: R. Pyrz, A. Tylikowski, WPW, 1983.
3.	Zbiór zadań z wytrzymałości materiałów: praca zbiorowa pod redakcją K. Gołosia i J. Osińskiego, Wydawnictwo Politechniki Warszawskiej, 2014.
4.	Zbiór zadań z wytrzymałości materiałów: E. Niezgodziński, T. Niezgodziński, WNT.
5.	Własności i wytrzymałość materiałów: praca zbiorowa pod redakcją K. Gołosia, Wydawnictwo Politechniki Warszawskiej, 2008.
6.	Wytrzymałość materiałów: Brzoska Z.
7.	Wybrane zagadnienia wytrzymałości zmęczeniowej konstrukcji lotniczych: Dębski M., Dębski D., Wydawnictwa Naukowe Instytutu Lotnictwa,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1150-MB000-IZP-0414_W1: </w:t>
      </w:r>
    </w:p>
    <w:p>
      <w:pPr/>
      <w:r>
        <w:rPr/>
        <w:t xml:space="preserve">Student ma uporządkowaną wiedzę w zakresie mechaniki materiałów, w tym w zakresie stanu naprężeń i odkształceń w elementach konstrukcji mechanicznych, niezbędną do prowadzenia analiz wytrzymałościowych. Student posiada podstawową wiedzę o hipotezach wytężeniowych stosowanych w analizie konstrukcji cienkościennych w aspekcie statyki i wytrzymałości zmęczeniowej, zna podstawy analizy zmęczeniowej i mechaniki pękania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1150-MB000-IZP-0414_W2: </w:t>
      </w:r>
    </w:p>
    <w:p>
      <w:pPr/>
      <w:r>
        <w:rPr/>
        <w:t xml:space="preserve">Student ma uporządkowaną wiedzę w zakresie specjalistycznych zagadnień dotyczących projektowania, wytwarzania i eksploatacji cienkościennych struktur nośnych maszyn i pojazdów. Student zna rodzaje konstrukcji cienkościennych, ich elementów składowych, rolę, metody łączenia i sposób przenoszenia obciążenia. Student posiada podstawową wiedzę o wprowadzaniu i rozprowadzaniu sił skupionych w konstrukcjach cienkościennych oraz potrafi oszacować wytężenie podstawowych, wybranych elementów konstrukcji cienkościennej.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T1A_W06,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1150-MB000-IZP-0414_U1: </w:t>
      </w:r>
    </w:p>
    <w:p>
      <w:pPr/>
      <w:r>
        <w:rPr/>
        <w:t xml:space="preserve">Student potrafi oszacować wytężenie podstawowych, wybranych elementów konstrukcji cienkościennej (w tym przeprowadzić analizę naprężeń i odkształceń w wybranych elementach) maszyn i pojazdów posługując się metodami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KMiBM_U16, KMiBM_U17,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T1A_U08, T1A_U09, T1A_U10, T1A_U08, T1A_U09, T1A_U15, T1A_U05</w:t>
      </w:r>
    </w:p>
    <w:p>
      <w:pPr>
        <w:keepNext w:val="1"/>
        <w:spacing w:after="10"/>
      </w:pPr>
      <w:r>
        <w:rPr>
          <w:b/>
          <w:bCs/>
        </w:rPr>
        <w:t xml:space="preserve">Efekt 1150-MB000-IZP-0414_U2: </w:t>
      </w:r>
    </w:p>
    <w:p>
      <w:pPr/>
      <w:r>
        <w:rPr/>
        <w:t xml:space="preserve">Student potrafi wykorzystać pozyskaną wiedzę specjalistyczną w procesach analizy zjawisk występujących w budowie maszyn i pojazdów w aspekcie konstrukcji cienkościennych. Student posiadł umiejętność samokształcenia się, m.in. w celu podnoszenia kompetencji zawodowych w obliczu skomplikowanych zjawisk występujących w obszarze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KMiBM_U16, KMiBM_U17,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T1A_U08, T1A_U09, T1A_U10, T1A_U08, T1A_U09, T1A_U15,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1150-MB000-IZP-0414_K1: </w:t>
      </w:r>
    </w:p>
    <w:p>
      <w:pPr/>
      <w:r>
        <w:rPr/>
        <w:t xml:space="preserve">Student rozumie potrzebę i zna możliwości ciągłego dokształcania się, ma świadomość ważności i rozumie pozatechniczne aspekty i skutki działalności inżyniera-mechanika, w tym jej wpływ na środowisko, i związaną z tym odpowiedzialność za podejmowane decyzje.
Student jest świadom problemów związanych z oceną bezpieczeństwa konstrukcji i ma świadomość odpowiedzialności ciążącej na osobie dokonującej analizy i badania wytrzymałościowe.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2025-11-01T00:53:59+01:00</dcterms:created>
  <dcterms:modified xsi:type="dcterms:W3CDTF">2025-11-01T00:53:59+01:00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