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Informatyki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IS_W01, IS_W11: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statystycznych. 2.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 i przedziałowej, testowania hipotez, badań statystycznych ze względu na dwie cechy  3. Definiuje podstawowe pojęcia geostatystyki, takie jak: zmienna losowa i zregionalizowana, podstawowe momenty funkcji losowych, hipotezy stacjonarności, zarys modelowania geostatystycznego oraz podstawy metody krigingu.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IS_U03, IS_U09, IS_U10: </w:t>
      </w:r>
    </w:p>
    <w:p>
      <w:pPr/>
      <w:r>
        <w:rPr/>
        <w:t xml:space="preserve">1.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2.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3.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4.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IS_K02, IS_K06: </w:t>
      </w:r>
    </w:p>
    <w:p>
      <w:pPr/>
      <w:r>
        <w:rPr/>
        <w:t xml:space="preserve">1. Rozumie specyfikę metod statystycznych środowiska przyrodniczego i złożonych relacji występujące w badaniach statystycznych środowiska. 2. Potrafi przeprowadzić wybrane badania statystyczne i geostatystyczne, mając świadomość ich rangi oraz skutków społecznych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2024-05-09T02:24:39+02:00</dcterms:created>
  <dcterms:modified xsi:type="dcterms:W3CDTF">2024-05-09T02:24:39+02:00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