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485 godz.
Łączny nakład pracy studenta: 500 godz., co odpowiada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19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PDYM_W01: </w:t>
      </w:r>
    </w:p>
    <w:p>
      <w:pPr/>
      <w:r>
        <w:rPr/>
        <w:t xml:space="preserve">Znajomość podstawowych metod, technik i narzędzi do rozwiązywania złożonych zadań inżynierskich lub zadań badawczych w wybranych zastosowaniach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PDYM_U01: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PDYM_U02: </w:t>
      </w:r>
    </w:p>
    <w:p>
      <w:pPr/>
      <w:r>
        <w:rPr/>
        <w:t xml:space="preserve">Umiejętność oceny przydatności i wyboru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PDYM_U03: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PDYM_U04: </w:t>
      </w:r>
    </w:p>
    <w:p>
      <w:pPr/>
      <w:r>
        <w:rPr/>
        <w:t xml:space="preserve">Umiejętność przygotowania opracowania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 lub jej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T2A_U02, T2A_U03, T2A_U07, T2A_U11, T2A_U15,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PDYM_K01: </w:t>
      </w:r>
    </w:p>
    <w:p>
      <w:pPr/>
      <w:r>
        <w:rPr/>
        <w:t xml:space="preserve">Umiejętność zaplanowania i zrealizowania zadania związanego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2024-04-30T06:25:27+02:00</dcterms:created>
  <dcterms:modified xsi:type="dcterms:W3CDTF">2024-04-30T06:25:27+02:00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