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Adam Kisiel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F1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45 h
konsultacje  – 5 h
przygotowanie do sprawdzianu i obecność na sprawdzianie – 10 h
Łączny nakład pracy studenta wynosi  60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h
konsultacje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
</w:t>
      </w:r>
    </w:p>
    <w:p>
      <w:pPr>
        <w:keepNext w:val="1"/>
        <w:spacing w:after="10"/>
      </w:pPr>
      <w:r>
        <w:rPr>
          <w:b/>
          <w:bCs/>
        </w:rPr>
        <w:t xml:space="preserve">Treści kształcenia: </w:t>
      </w:r>
    </w:p>
    <w:p>
      <w:pPr>
        <w:spacing w:before="20" w:after="190"/>
      </w:pPr>
      <w:r>
        <w:rPr/>
        <w:t xml:space="preserve">Program przedmiotu:
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w:t>
      </w:r>
    </w:p>
    <w:p>
      <w:pPr>
        <w:keepNext w:val="1"/>
        <w:spacing w:after="10"/>
      </w:pPr>
      <w:r>
        <w:rPr>
          <w:b/>
          <w:bCs/>
        </w:rPr>
        <w:t xml:space="preserve">Metody oceny: </w:t>
      </w:r>
    </w:p>
    <w:p>
      <w:pPr>
        <w:spacing w:before="20" w:after="190"/>
      </w:pPr>
      <w:r>
        <w:rPr/>
        <w:t xml:space="preserve">Zaliczenie na podstawie dwóch kolokwiów pisemnych (pierwszy – mechanika, drugi – elektromagnetyzm), które odbywają się podczas wykładów. Łączną ocenę punktową przelicza się na stopnie według poniższych zasad:
a) 3.0 jeżeli uzyskali od 51 do 70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 (PWN)
2.  Jey Orear „Fizyka” tom 1,2 (PWN)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F_U01: </w:t>
      </w:r>
    </w:p>
    <w:p>
      <w:pPr/>
      <w:r>
        <w:rPr/>
        <w:t xml:space="preserve">Potrafi pozyskiwać informacje z literatury, baz danych oraz innych źródeł, integrować je, dokonywać interpretacji oraz wyciągać wnioski i formułować opinie. 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2024-05-02T11:59:25+02:00</dcterms:created>
  <dcterms:modified xsi:type="dcterms:W3CDTF">2024-05-02T11:59:25+02:00</dcterms:modified>
</cp:coreProperties>
</file>

<file path=docProps/custom.xml><?xml version="1.0" encoding="utf-8"?>
<Properties xmlns="http://schemas.openxmlformats.org/officeDocument/2006/custom-properties" xmlns:vt="http://schemas.openxmlformats.org/officeDocument/2006/docPropsVTypes"/>
</file>