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drogi Eulera, cykle i ścieżki Hamiltona, planarność grafów, chromatyka grafów, systemy różnych reprezentantów, przepływy w sieciach, matroidy, algorytmy zachłanne, podstawy teorii Ramseya. Powinni także posiadać następujące umiejętności:
- wykorzystania nabytej wiedzy do rozwiązania (w sposób dokładny lub przybliżony) optymalizacyjnych problemów kombinatorycznych (m. in. problemu chińskiego listonosza, problemu komiwojażera, pewnych problemów szeregowania zadań, problemu największego przepływu w sieci),
- odróżnienia, w przypadku podstawowych problemów teorii grafów, które z tych problemów są obliczeniowo trudne, a które łatwe,
- określenia spójności grafu,
- znalezienia za pomocą odpowiedniego algorytmu cyklu i drogi Eulera w grafie, o ile istnieje,
- określenia czy graf jest planarny,
- znajdowania liczby chromatycznej i indeksu chromatycznego grafu (dla grafów niewielkiego rozmiaru),
- wykorzystania teorii matroidów do konstrukcji algorytmów zachłannych.</w:t>
      </w:r>
    </w:p>
    <w:p>
      <w:pPr>
        <w:keepNext w:val="1"/>
        <w:spacing w:after="10"/>
      </w:pPr>
      <w:r>
        <w:rPr>
          <w:b/>
          <w:bCs/>
        </w:rPr>
        <w:t xml:space="preserve">Treści kształcenia: </w:t>
      </w:r>
    </w:p>
    <w:p>
      <w:pPr>
        <w:spacing w:before="20" w:after="190"/>
      </w:pPr>
      <w:r>
        <w:rPr/>
        <w:t xml:space="preserve">Program wykładu i ćwiczeń:
Spójność, twierdzenie Mengera.
Obwód i droga Eulera, problem chińskiego listonosza.
Cykl i ścieżka Hamilona, problem komiwojażera.
Planarność, formuła Eulera, twierdzenie Kuratowskiego.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Matroidy, algorytmy zachłanne, twierdzenie Edmondsa.
Liczba Ramseya.</w:t>
      </w:r>
    </w:p>
    <w:p>
      <w:pPr>
        <w:keepNext w:val="1"/>
        <w:spacing w:after="10"/>
      </w:pPr>
      <w:r>
        <w:rPr>
          <w:b/>
          <w:bCs/>
        </w:rPr>
        <w:t xml:space="preserve">Metody oceny: </w:t>
      </w:r>
    </w:p>
    <w:p>
      <w:pPr>
        <w:spacing w:before="20" w:after="190"/>
      </w:pPr>
      <w:r>
        <w:rPr/>
        <w:t xml:space="preserve">Podstawę zaliczenia stanowią dwa kolokwia po 17 punktów, aktywność na ćwiczeniach 6 punktów oraz egzamin 60 punktów. Razem 100 punktów. Ocena 3.0 – 50-59 pkt, 3.5 – 60-69 pkt, 4.0 – 70-79 pkt, 4.5 – 80-89 pkt, 5.0 – 90-100 pkt. Nie ma możliwości poprawy kolokwiów.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1989.
3. Z. Palka, A. Ruciński, Wykłady z Kombinatoryki, cz. 1, WNT, Warszawa 1998.
4. V. Bryant, Aspekty kombinatoryki, WNT, Warszawa 1997.
5. R. J. Wilson, Wstęp do teorii grafów, PWN, Warszawa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2024-05-06T15:27:05+02:00</dcterms:created>
  <dcterms:modified xsi:type="dcterms:W3CDTF">2024-05-06T15:27:05+02:00</dcterms:modified>
</cp:coreProperties>
</file>

<file path=docProps/custom.xml><?xml version="1.0" encoding="utf-8"?>
<Properties xmlns="http://schemas.openxmlformats.org/officeDocument/2006/custom-properties" xmlns:vt="http://schemas.openxmlformats.org/officeDocument/2006/docPropsVTypes"/>
</file>