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komputerowa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Porter-Sobieraj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60 h; w tym
a. obecność na wykładach – 30 h
b. obecność na laboratoriach – 30 h
2. przygotowanie do zajęć laboratoryjnych – 50 h
3. zapoznanie się z literaturą – 10 h
4. konsultacje – 5 h
5. przygotowanie do egzaminu i obecność na egzaminie – 15 h
Razem nakład pracy studenta 140 h = 5 pkt.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laboratoriach – 30 h
3. konsultacje  – 5 h
Razem: 65 h, co odpowiada 3 pkt.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30 h
2. przygotowanie do zajęć laboratoryjnych – 50 h
Razem: 80 h, co odpowiada 3 pkt.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Grafika komputerowa I, Modelowanie geometryczne.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technikami grafiki komputerowej, w szczególności z zaawansowanymi zagadnieniami przetwarzania i wizualizacji trójwymiarowych scen na potrzeby rzeczywistości wirtualnej (m.in. gier, symulacji komputerowych, systemów CAD/CAM). W ramach przedmiotu studenci poznają algorytmy renderowania obiektów, dobierają metody wizualizacji do specyfiki problemu oraz implementują je z wykorzystaniem API bibliotek graficznych i możliwości najnowszych kart graficznych.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  Modele oświetlenia.
2.  Cieniowanie modeli wielościanowych.
3.  Teksturowanie powierzchni.
4.  Eliminacja krawędzi i ścian niewidocznych.
5.  Generowanie cieni.
6.  Wyświetlanie obiektów półprzezroczystych.
7.  Odbicia w powierzchniach zwierciadlanych.
8.  Antyaliasing.
9.  Triangulacja obciętych powierzchni krzywoliniowych. Triangulacja zbioru punktów.
10.  Animacja.
11.  Metody optymalnego wyświetlania terenu i scen zamkniętych.
12.  Metoda śledzenia promieni. Lokalizacja obliczeń.
13.  Metody oświetlenia globalnego.
14.  Sprzętowe wspomaganie wyświetlania. Jednostki cieniowania wierzchołków i pikseli.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może maksymalnie otrzymać 110 punktów (80 pkt. za zadania laboratoryjne i 30 pkt. za egzamin). Zajęcia laboratoryjne składają się z zadań rozwiązywanych indywidualnie lub w grupach dwuosobowych. Egzamin obejmuje materiał przedstawiamy na wykładzie. Ocena końcowa zależy od sumy zdobytych punktów i wystawiana jest zgodnie z następującymi zasadami: 0–50 punktów – brak zaliczenia, 51–60 – 3,0,  61–70 – 3,5, 71–80 – 4,0, 81–90 – 4,5, 91–110 –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Treglia (Editors) “Game Programming Gems Series”, Charles River Media, 2000-2002.
Fernando (Editors) “GPU Gems Series”, Pearson Education, 2004-2007.
Sweet “OpenGL Superbible”, Waite Group Press, 1999.
Luna “Introduction to 3D Game Programming with DirectX 9.0”, Wordware Publishing, Inc., 2003.
Hughes “Computer Graphics: Principles and Practice”, Addison-Wesley, 1990.
Zabrodzki (red): Grafika komputerowa, metody i narzędzia, WNT,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W2_01: </w:t>
      </w:r>
    </w:p>
    <w:p>
      <w:pPr/>
      <w:r>
        <w:rPr/>
        <w:t xml:space="preserve">Zna zaawansowane algorytmy i struktury danych do realistycznego i efektywnego przetwarzania i wyświetlania trójwymiarowych scen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CC_W03, CC_W05, CC_W11, CC_W13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U2_01: </w:t>
      </w:r>
    </w:p>
    <w:p>
      <w:pPr/>
      <w:r>
        <w:rPr/>
        <w:t xml:space="preserve">Potrafi przeanalizować wymagania w przedsięwzięciach związanych z wizualizacją komputerową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wykonanych projektów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U2_02: </w:t>
      </w:r>
    </w:p>
    <w:p>
      <w:pPr/>
      <w:r>
        <w:rPr/>
        <w:t xml:space="preserve">Posiada umiejętność selekcji i krytycznej interpretacji informacji technicznej oraz potrafi ją wykorzystać do rozwiązania problemów związanych z wydajnym przetwarzaniem i wizualizacją scen 3D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wykonanych projektów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CC_U01, CC_U04, CC_U05, CC_U06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</w:t>
      </w:r>
    </w:p>
    <w:p>
      <w:pPr>
        <w:keepNext w:val="1"/>
        <w:spacing w:after="10"/>
      </w:pPr>
      <w:r>
        <w:rPr>
          <w:b/>
          <w:bCs/>
        </w:rPr>
        <w:t xml:space="preserve">Efekt U2_03: </w:t>
      </w:r>
    </w:p>
    <w:p>
      <w:pPr/>
      <w:r>
        <w:rPr/>
        <w:t xml:space="preserve">Potrafi zaprojektować i zaimplementować efektywne algorytmy wyświetlenia przy użyciu bibliotek graficznych i możliwości najnowszych kart 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projektów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CC_U07, CC_U09, CC_U11, CC_U12, CC_U16, CC_U17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K2_01: </w:t>
      </w:r>
    </w:p>
    <w:p>
      <w:pPr/>
      <w:r>
        <w:rPr/>
        <w:t xml:space="preserve">Posiada zdolność do kontynuacji kształcenia oraz świadomość potrzeby samokształcenia w ramach procesu kształcenia ustawicznego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projektów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K2_02: </w:t>
      </w:r>
    </w:p>
    <w:p>
      <w:pPr/>
      <w:r>
        <w:rPr/>
        <w:t xml:space="preserve">Potrafi posługiwać się językiem angielskim w stopniu umożliwiającym bezproblemową komunikację w zakresie grafiki komputerowej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wykonanych projektów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2026-07-28T05:55:56+02:00</dcterms:created>
  <dcterms:modified xsi:type="dcterms:W3CDTF">2026-07-28T05:55:56+02:00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