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 1</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105 h; w tym
a. obecność na wykładach – 45 h
b. obecność na ćwiczeniach – 30 h
c. obecność na laboratoriach – 30 h
2. przygotowanie do zajęć laboratoryjnych – 50 h
3. zapoznanie się z literaturą, przygotowanie do ćwiczeń – 10 h
4. konsultacje – 5 h
5. przygotowanie do egzaminu i obecność na egzaminie – 15 h
Razem nakład pracy studenta 185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30 h
3. obecność na laboratoriach – 30 h
4. konsultacje  – 5 h
Razem: 110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i Struktury Danych, Grafika komputerowa, Metody Numeryczne, Metody Optymalizacji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modelowania geometrycznego, w szczególności z zaawansowanymi zagadnieniami modelowania krzywych i powierzchni dla  potrzeb projektowania systemów CAD/CAM. W ramach przedmiotu studenci poznają metody i algorytmy projektowania i eksploatacji geometrycznych baz danych dla systemów projektowania części maszyn i urządzeń. </w:t>
      </w:r>
    </w:p>
    <w:p>
      <w:pPr>
        <w:keepNext w:val="1"/>
        <w:spacing w:after="10"/>
      </w:pPr>
      <w:r>
        <w:rPr>
          <w:b/>
          <w:bCs/>
        </w:rPr>
        <w:t xml:space="preserve">Treści kształcenia: </w:t>
      </w:r>
    </w:p>
    <w:p>
      <w:pPr>
        <w:spacing w:before="20" w:after="190"/>
      </w:pPr>
      <w:r>
        <w:rPr/>
        <w:t xml:space="preserve">Funkcje kawałkami wielomianowe i sklejane.
Geometria różniczkowa krzywych i powierzchni. 
Projektowanie krzywych i powierzchni. 
Algorytmy operacji Boole’owskich na bryłach zwartych. 
Geometryczne bazy danych. 
Zastosowanie homologii do analizy geometrycznej baz danych.  
</w:t>
      </w:r>
    </w:p>
    <w:p>
      <w:pPr>
        <w:keepNext w:val="1"/>
        <w:spacing w:after="10"/>
      </w:pPr>
      <w:r>
        <w:rPr>
          <w:b/>
          <w:bCs/>
        </w:rPr>
        <w:t xml:space="preserve">Metody oceny: </w:t>
      </w:r>
    </w:p>
    <w:p>
      <w:pPr>
        <w:spacing w:before="20" w:after="190"/>
      </w:pPr>
      <w:r>
        <w:rPr/>
        <w:t xml:space="preserve">Zaliczenie laboratorium, zaliczenie ćwiczeń i egzamin.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rozszerzone o pozycje internetowe. 
G. Farin „Geometric Modelling” i podobne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trójwymiarowych modeli części maszyn i urządzeń.</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geometrycznej bazy danych CAD</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CC_U03, CC_U05, CC_U06</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Posiada umiejętność selekcji i krytycznej interpretacji oraz praktycznego wykorzystania informacji technicznej dotyczącej geometrycznych baz danych.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CC_U05, CC_U06, CC_U07, CC_U09, CC_U21</w:t>
      </w:r>
    </w:p>
    <w:p>
      <w:pPr>
        <w:spacing w:before="20" w:after="190"/>
      </w:pPr>
      <w:r>
        <w:rPr>
          <w:b/>
          <w:bCs/>
        </w:rPr>
        <w:t xml:space="preserve">Powiązane efekty obszarowe: </w:t>
      </w:r>
      <w:r>
        <w:rPr/>
        <w:t xml:space="preserve">, , , , , </w:t>
      </w:r>
    </w:p>
    <w:p>
      <w:pPr>
        <w:keepNext w:val="1"/>
        <w:spacing w:after="10"/>
      </w:pPr>
      <w:r>
        <w:rPr>
          <w:b/>
          <w:bCs/>
        </w:rPr>
        <w:t xml:space="preserve">Efekt U2_03  : </w:t>
      </w:r>
    </w:p>
    <w:p>
      <w:pPr/>
      <w:r>
        <w:rPr/>
        <w:t xml:space="preserve">Potrafi zaprojektować i zaimplementować efektywne algorytmy stosowane w bazach danych do projektowania części maszyn przy użyciu bibliotek numerycznych i możliwości najnowszych kart graficznych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CC_U05, CC_U09, CC_U11, CC_U12, CC_U16, CC_U20</w:t>
      </w:r>
    </w:p>
    <w:p>
      <w:pPr>
        <w:spacing w:before="20" w:after="190"/>
      </w:pPr>
      <w:r>
        <w:rPr>
          <w:b/>
          <w:bCs/>
        </w:rPr>
        <w:t xml:space="preserve">Powiązane efekty obszarowe: </w:t>
      </w:r>
      <w:r>
        <w:rPr/>
        <w:t xml:space="preserve">, , ,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Potrafi posługiwać się językiem angielskim w stopniu umożliwiającym bezproblemową komunikację w zakresie zagadnień modelowania geometrycznego</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2024-05-04T05:49:37+02:00</dcterms:created>
  <dcterms:modified xsi:type="dcterms:W3CDTF">2024-05-04T05:49:37+02:00</dcterms:modified>
</cp:coreProperties>
</file>

<file path=docProps/custom.xml><?xml version="1.0" encoding="utf-8"?>
<Properties xmlns="http://schemas.openxmlformats.org/officeDocument/2006/custom-properties" xmlns:vt="http://schemas.openxmlformats.org/officeDocument/2006/docPropsVTypes"/>
</file>