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Grafika komputerowa 3D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Joanna Porter-Sobieraj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45 h; w tym
a. obecność na wykładach – 30 h
b. obecność na laboratoriach – 15 h
2. przygotowanie do zajęć laboratoryjnych – 30 h
3. zapoznanie się z literaturą – 5 h
4. konsultacje – 5 h
5. przygotowanie do kolokwium – 15 h
Razem nakład pracy studenta 100 h = 4 pkt. ECTS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30 h
2. obecność na laboratoriach – 15 h
3. konsultacje  – 5 h
Razem: 50 h, co odpowiada 2 pkt.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obecność na laboratoriach – 15 h
2. przygotowanie do zajęć laboratoryjnych – 30 h
Razem: 45 h, co odpowiada 2 pkt.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Grafika komputerowa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zaawansowanymi technikami grafiki komputerowej, w szczególności z wybranymi zagadnieniami realistycznej wizualizacji trójwymiarowych scen. W ramach przedmiotu studenci poznają algorytmy renderowania obiektów oraz ich implementacje z wykorzystaniem API bibliotek graficznych.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  Modele oświetlenia
2.  Metoda śledzenia promieni
3.  Metody oświetlenia globalnego
4.  Lokalizacja obliczeń
5.  Cieniowanie modeli wielościanowych
6.  Eliminacja krawędzi i ścian niewidocznych
7.  Teksturowanie powierzchni
8.  Generowanie cieni
9.  Wyświetlanie obiektów półprzezroczystych
10.  Odbicia w powierzchniach zwierciadlanych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Student może maksymalnie otrzymać 100 punktów (60 pkt. za zadania laboratoryjne i 40 pkt. za kolokwium zaliczeniowe). Zajęcia laboratoryjne składają się z 3 indywidualnych zadań, ocenianych od 0 do 20 punktów. Ostatecznymi terminami oddania zadań są odpowiednio 5, 9 i 14 tydzień zajęć, zadania oddane po tych terminach nie podlegają ocenie. Ocena końcowa zależy od sumy zdobytych punktów i wystawiana jest zgodnie z następującymi zasadami: 0–50 punktów – brak zaliczenia, 51–60 – 3,0,  61–70 – 3,5, 71–80 – 4,0, 81–90 – 4,5, 91–100 – 5,0.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Sweet “OpenGL Superbible”, Waite Group Press, 1999.
Luna “Introduction to 3D Game Programming with DirectX 9.0”, Wordware Publishing, Inc., 2003.
Treglia (Editors) “Game Programming Gems Series”, Charles River Media, 2000-2002.
Hughes “Computer Graphics: Principles and Practice”, Addison-Wesley, 1990.
Zabrodzki (red): Grafika komputerowa, metody i narzędzia, WNT, 1994.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W2_01: </w:t>
      </w:r>
    </w:p>
    <w:p>
      <w:pPr/>
      <w:r>
        <w:rPr/>
        <w:t xml:space="preserve">Zna algorytmy, struktury danych i metody realistycznego wyświetlenia trójwymiarowych scen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SI_W11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U2_01: </w:t>
      </w:r>
    </w:p>
    <w:p>
      <w:pPr/>
      <w:r>
        <w:rPr/>
        <w:t xml:space="preserve">Potrafi przeanalizować wymagania w przedsięwzięciach związanych z wizualizacją komputerową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SI_U20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U2_02: </w:t>
      </w:r>
    </w:p>
    <w:p>
      <w:pPr/>
      <w:r>
        <w:rPr/>
        <w:t xml:space="preserve">Posiada umiejętność selekcji i krytycznej interpretacji informacji technicznej oraz potrafi ją wykorzystać do rozwiązania problemów związanych z wizualizacją 3D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SI_U01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U2_03: </w:t>
      </w:r>
    </w:p>
    <w:p>
      <w:pPr/>
      <w:r>
        <w:rPr/>
        <w:t xml:space="preserve">Potrafi zaimplementować podstawowe algorytmy wyświetlenia scen 3D przy użyciu jednego z API graficznych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SI_U12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2024-05-08T16:23:20+02:00</dcterms:created>
  <dcterms:modified xsi:type="dcterms:W3CDTF">2024-05-08T16:23:20+02:00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