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sztucznej inteligencji 2</w:t>
      </w:r>
    </w:p>
    <w:p>
      <w:pPr>
        <w:keepNext w:val="1"/>
        <w:spacing w:after="10"/>
      </w:pPr>
      <w:r>
        <w:rPr>
          <w:b/>
          <w:bCs/>
        </w:rPr>
        <w:t xml:space="preserve">Koordynator przedmiotu: </w:t>
      </w:r>
    </w:p>
    <w:p>
      <w:pPr>
        <w:spacing w:before="20" w:after="190"/>
      </w:pPr>
      <w:r>
        <w:rPr/>
        <w:t xml:space="preserve">Prof. nzw dr hab.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obecność na wykładzie, ćwiczeniach i zajęciach projektowych - 60h 
2) dodatkowe godziny przeznaczone na realizacje projektu - 30h
3) zapoznanie się z literaturą - 10h
4) przygotowanie prezentacji - 15h
Razem nakład pracy studenta 115h = 4p.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wykładzie, ćwiczeniach i zajęciach projektowych - 60h 
Razem: 60 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ćwiczenia i zajęcia projektowe - 45h
b) dodatkowe godziny przeznaczone na realizacje projektu - 30h
c) przygotowanie prezentacji - 15h
Razem: 90h., co odpowiada 4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Algorytmy grafowe,  MSI 1, 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technikami sztucznej inteligencji a w szczególności z wybranymi zagadnieniami z obszaru inteligencji obliczeniowej. W ramach przedmiotu studenci poznają podstawy teoretyczne 
Metod inteligencji rojowej
Wybranych metod uczenia maszynowego
Wybrać metod klasyfikacyjnych
oraz ich zastosowania w obszarze gier umysłowych, zagadnień finansowych oraz bioinformatyki. </w:t>
      </w:r>
    </w:p>
    <w:p>
      <w:pPr>
        <w:keepNext w:val="1"/>
        <w:spacing w:after="10"/>
      </w:pPr>
      <w:r>
        <w:rPr>
          <w:b/>
          <w:bCs/>
        </w:rPr>
        <w:t xml:space="preserve">Treści kształcenia: </w:t>
      </w:r>
    </w:p>
    <w:p>
      <w:pPr>
        <w:spacing w:before="20" w:after="190"/>
      </w:pPr>
      <w:r>
        <w:rPr/>
        <w:t xml:space="preserve">Treść wykładu stanowią zaawansowane zagadnienia dotyczące metod uczenia maszynowego, metod ewolucyjnych oraz metod inteligencji obliczeniowej w kontekście rozwiązywania złożonych problemów decyzyjnych, problemów optymalizacyjnych oraz analizy i drążenia danych. Szczególny nacisk położony jest na omówienie najnowszych trendów w w.w. obszarach. W trakcie ćwiczeń studenci samodzielnie przygotowują oraz przedstawiają referaty dotyczące  zagadnień badawczych opublikowanych w bieżącej literaturze przedmiotu (czołowych czasopismach oraz materiałach konferencyjnych). W ramach cało-semestralnych projektów studenci w grupach 2-4 osobowych projektują oraz implementują programy rozwiązujące praktyczne, problemy z zakresu bioinformatyki, finansów czy gier umysłowych.</w:t>
      </w:r>
    </w:p>
    <w:p>
      <w:pPr>
        <w:keepNext w:val="1"/>
        <w:spacing w:after="10"/>
      </w:pPr>
      <w:r>
        <w:rPr>
          <w:b/>
          <w:bCs/>
        </w:rPr>
        <w:t xml:space="preserve">Metody oceny: </w:t>
      </w:r>
    </w:p>
    <w:p>
      <w:pPr>
        <w:spacing w:before="20" w:after="190"/>
      </w:pPr>
      <w:r>
        <w:rPr/>
        <w:t xml:space="preserve">Średnia ważona ocena z przedstawionego referatu oraz wykonanego projektu.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 Duch and J. Mańdziuk (eds.) , Challenges to Computational Intelligence, Springer-Verlag, 2007
Wang, J.T.L.; Zaki, M.J.; Toivonen, H.T.T.; Shasha, D.E. (eds.) Data Mining in Bioinformatics, Springer-Verlag
A. Brabazon and M. O’Neill Biologically Inspired Algorithms for Financial Modelling, Springer 
Czasopisma IEEE TNN, IEEE TEC, IEEE TCIAIG, Machine Learning, Artificial Intelligence,
Materialy konferencyjne: NIPS, ICANN., IJCNN, ICONIP, ECAI, ICML, ICAISC, ICANNGA, i inne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metody wykorzystania inteligencji obliczeniowej w zastosowaniach ekonomicznych (Business Intelligence)</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SI_W08</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Zna zaawansowane metody uczenia maszynowego, metody ewolucyjne oraz metody inteligencji obliczeniowej</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SI_W10</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Posiada umiejętność gromadzenia, selekcji i krytycznej interpretacji informacji technicznej oraz zdolność formułowania poglądów, idei, problemów i ich rozwiązań oraz zdolność ich wyrażania i prezentowania specjalistom i niespecjalistom</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SI_U01</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SI_U02</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bezproblemowo posługiwać się językiem angielskim w różnych obszarach tematycznych</w:t>
      </w:r>
    </w:p>
    <w:p>
      <w:pPr>
        <w:spacing w:before="60"/>
      </w:pPr>
      <w:r>
        <w:rPr/>
        <w:t xml:space="preserve">Weryfikacja: </w:t>
      </w:r>
    </w:p>
    <w:p>
      <w:pPr>
        <w:spacing w:before="20" w:after="190"/>
      </w:pPr>
      <w:r>
        <w:rPr/>
        <w:t xml:space="preserve">ocena zawartości merytorycznej referatu</w:t>
      </w:r>
    </w:p>
    <w:p>
      <w:pPr>
        <w:spacing w:before="20" w:after="190"/>
      </w:pPr>
      <w:r>
        <w:rPr>
          <w:b/>
          <w:bCs/>
        </w:rPr>
        <w:t xml:space="preserve">Powiązane efekty kierunkowe: </w:t>
      </w:r>
      <w:r>
        <w:rPr/>
        <w:t xml:space="preserve">SI_U03</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Potrafi zdefiniować fazy realizacji oraz praktycznie przeprowadzić złożone przedsięwzięcie informatyczne </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SI_U21</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2024-05-07T17:52:11+02:00</dcterms:created>
  <dcterms:modified xsi:type="dcterms:W3CDTF">2024-05-07T17:52:11+02:00</dcterms:modified>
</cp:coreProperties>
</file>

<file path=docProps/custom.xml><?xml version="1.0" encoding="utf-8"?>
<Properties xmlns="http://schemas.openxmlformats.org/officeDocument/2006/custom-properties" xmlns:vt="http://schemas.openxmlformats.org/officeDocument/2006/docPropsVTypes"/>
</file>