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 2x15=30 godz.
Przygotowanie do seminarium 40 godz.
Konsultacje 10 godz.
Razem 80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Zabezpieczanie w sensie średnio-kwadratowym w modelach z czasem dyskretnym. 
Wycena opcji barierowych w modelu Blacka-Scholes’a.
Wycena opcji wstecznych w modelu Blacka-Scholes’a.
Model Martona obligacji korporacyjnych.
Model Blacka Cox’a.
Funkcja hazardu w modelowaniu ryzyka kredytowego.
Proces hazardu w modelowaniu ryzyka kredytowego.
Hipoteza H i jej znaczenie w modelach ryzyka kredytowego.
Wycena i zabezpieczanie kontraktów z ryzykiem kredytowym w modelach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MSR2_W_01: </w:t>
      </w:r>
    </w:p>
    <w:p>
      <w:pPr/>
      <w:r>
        <w:rPr/>
        <w:t xml:space="preserve">Zna modele strukturalne ryzyka kredytowego.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keepNext w:val="1"/>
        <w:spacing w:after="10"/>
      </w:pPr>
      <w:r>
        <w:rPr>
          <w:b/>
          <w:bCs/>
        </w:rPr>
        <w:t xml:space="preserve">Efekt MSR2_W_02: </w:t>
      </w:r>
    </w:p>
    <w:p>
      <w:pPr/>
      <w:r>
        <w:rPr/>
        <w:t xml:space="preserve">Zna modele ryzyka kredytowego oparte na funkcji i procesie hazardu.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keepNext w:val="1"/>
        <w:spacing w:after="10"/>
      </w:pPr>
      <w:r>
        <w:rPr>
          <w:b/>
          <w:bCs/>
        </w:rPr>
        <w:t xml:space="preserve">Efekt MSR2_W_03: </w:t>
      </w:r>
    </w:p>
    <w:p>
      <w:pPr/>
      <w:r>
        <w:rPr/>
        <w:t xml:space="preserve">Zna metody wyznaczanie strategii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MSR2_U_01: </w:t>
      </w:r>
    </w:p>
    <w:p>
      <w:pPr/>
      <w:r>
        <w:rPr/>
        <w:t xml:space="preserve">Potrafi wyszukać w literaturze fachowej informacje na zadany temat i przedstawić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MSR2_U_02: </w:t>
      </w:r>
    </w:p>
    <w:p>
      <w:pPr/>
      <w:r>
        <w:rPr/>
        <w:t xml:space="preserve">Potrafi analizować modele ryzyka kredytowego.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MSR2_S_01: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2024-05-05T05:18:56+02:00</dcterms:created>
  <dcterms:modified xsi:type="dcterms:W3CDTF">2024-05-05T05:18:56+02:00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