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			zna rolę i znaczenie problematyki własności intelek-tualnej, zna rodzaje wytworów myśli ludzkiej podlegających ochronie prawnej - przedmiotów własności intelektualnej oraz ich cechy – kryteria umożliwiające uzyskanie ochrony.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opikolokwia pisemne i ustnes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		ma elementarną wiedzę o sposobach uzyskiwania ochrony w trybie rejestracji, w tym głównie ochrony patentowej oraz o zakresie podmiotowym i rzeczowym praw wyłącznych.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		posiada wiedzę z zakresu podstawowych zasad zarzą-dzania własnością intelektualną oraz prowadzenia ba-dań stanu techniki, zdolności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										potrafi odróżniać systemy uzyskiwania ochrony na dobra niematerialne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OCWIN_U02: </w:t>
      </w:r>
    </w:p>
    <w:p>
      <w:pPr/>
      <w:r>
        <w:rPr/>
        <w:t xml:space="preserve">		potrafi korzystać z informacji patentowej dla potrzeb określania stanu techniki, badania zdolności ochronnej i czystości patentowej.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				potrafi samodzielnie zdobywać wiedzę z zakresu ochrony własności intelektualnej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				potrafi ocenić poziom swojej wiedzy i umiejętności, uznaje konieczność ciągłego dokształcania się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2026-04-18T22:47:43+02:00</dcterms:created>
  <dcterms:modified xsi:type="dcterms:W3CDTF">2026-04-18T22:47:43+02:00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