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Przygotowanie, ocena i finansowanie projektów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(zajęcia ćwiczeniowe) + 1h (konsultacje) + 18h (przygotowanie do zajęć ćwiczeniowych) + 24h (zapoznanie się ze wskazana literaturą) + 20h (opracowanie przykładowych zadań)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(opracowanie przykładowych zadań)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kosztów, sprawozdawczości finansowej, fi-nansów, zarządzania finansami.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 zakresie przygotowania studiów wypłacalności (feasibility study), ze szczególnym uwzględnieniem planowania finansowego oraz finansowej analizy i oceny efektywności projektów inwestycyjnych przedsiębiorstw.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Ogólna charakterystyka inwestycji przedsiębiorstw. 2) Fazy cyklu życia projektów rozwojowych. Nakłady inwestycyjne i ich struktura. 3)  Źródła finansowania inwestycji. Wybór wzorca finansowania inwesty-cji. 4) Prognoza przychodów ze sprzedaży i kosztów w okresie eksplo-atacji projektu. 5) Koszty stałe i zmienne w analizie projektów inwesty-cyjnych. analiza progu rentowności. 6) Plan finansowy projektu. Istota stopy dyskontowej i metody jej wyznaczania. 7) Niedyskontowe kryteria oceny projektów inwestycyjnych. 8) Tradycyjne mierniki dyskontowania oceny efektywności inwestycji. 9) Wady i zalety tradycyjnych mierników dyskontowania. 10) Zmodyfikowane mierniki dyskontowe. 11) Analiza ryzyka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opanowania wiedzy teoretycznej. Praca pisemna z ca-łości materiału obejmująca zagadnienia teoretyczne oraz krótkie zadania sprawdzające umiejętność zastosowania tej wiedzy w praktyce.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1] Pazio W.J.: Analiza finansowa i ocena efektywności projektów in-westycyjnych przedsiębiorstw. OWPW, Warszawa 2001. [2] Behrens W., Hawraneli P.M.: Poradnik przygotowania przemysłowych studiów feasibility. UNIDO, Warszawa 1993. [3] Jakubczak J.: Metody oceny projektu gospodarczego. PWN, Warszawa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8P1Z4_W02: </w:t>
      </w:r>
    </w:p>
    <w:p>
      <w:pPr/>
      <w:r>
        <w:rPr/>
        <w:t xml:space="preserve">ma uporządkowaną wiedzę z zakresu kategorii, formuł i koncepcji stosowanych w przygotowaniu i ocenie projek-tów inwestycyjnych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keepNext w:val="1"/>
        <w:spacing w:after="10"/>
      </w:pPr>
      <w:r>
        <w:rPr>
          <w:b/>
          <w:bCs/>
        </w:rPr>
        <w:t xml:space="preserve">Efekt 8P1Z4_W01: </w:t>
      </w:r>
    </w:p>
    <w:p>
      <w:pPr/>
      <w:r>
        <w:rPr/>
        <w:t xml:space="preserve">ma uporządkowaną wiedzę z zakresu przygotowania i oce-ny projektów inwestycyjnych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8P1Z4_U01: </w:t>
      </w:r>
    </w:p>
    <w:p>
      <w:pPr/>
      <w:r>
        <w:rPr/>
        <w:t xml:space="preserve">							potrafi pozyskiwać informacje z literatury, baz danych oraz innych źródeł, integrować je, dokonywać interpretacji oraz wyciągać wnioski i formułować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8P1Z4_U02: </w:t>
      </w:r>
    </w:p>
    <w:p>
      <w:pPr/>
      <w:r>
        <w:rPr/>
        <w:t xml:space="preserve">								potrafi wykorzystać nabytą wiedzę do projektowania i oce-ny projektów inwestycyjnych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8P1Z4_K02: </w:t>
      </w:r>
    </w:p>
    <w:p>
      <w:pPr/>
      <w:r>
        <w:rPr/>
        <w:t xml:space="preserve">									ma doświadczenie z pracą zespołową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p>
      <w:pPr>
        <w:keepNext w:val="1"/>
        <w:spacing w:after="10"/>
      </w:pPr>
      <w:r>
        <w:rPr>
          <w:b/>
          <w:bCs/>
        </w:rPr>
        <w:t xml:space="preserve">Efekt 8P1Z4_K01: </w:t>
      </w:r>
    </w:p>
    <w:p>
      <w:pPr/>
      <w:r>
        <w:rPr/>
        <w:t xml:space="preserve">							rozumie potrzebę uczenia się przez całe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2024-05-04T04:04:51+02:00</dcterms:created>
  <dcterms:modified xsi:type="dcterms:W3CDTF">2024-05-04T04:04:51+02:00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