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							ma elementarną wiedzę z zakresu podstaw ergonomii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zna stan normalizacji prawnej w dziedzinie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potrafi określić fizjologiczne aspekty warunków ergonomicznych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POERG_U02: </w:t>
      </w:r>
    </w:p>
    <w:p>
      <w:pPr/>
      <w:r>
        <w:rPr/>
        <w:t xml:space="preserve">							potrafi dokonać ergonomicznej oceny obiektów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docenia potrzebę doskonalenia zawodowego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2024-05-07T01:23:41+02:00</dcterms:created>
  <dcterms:modified xsi:type="dcterms:W3CDTF">2024-05-07T01:23:41+02:00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