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I.d / Przedmiot obieralny (z grupy HES,...) Polska w Unii Europejskiej. Możliwości Korzystania z Funduszy Unijnych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Szymon Drabczyk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10 godzin, w tym:
a) wykład - 8 godz.
c) konsultacje - 2 godz.
2. Praca własna studenta: 40 godzin, w tym:
a) 20 godz. - bieżące przygotowywanie się do wykładów;
b) 20 godz. - przygotowywanie się do kolokwium;
RAZEM: 50 godzin, co odpowiada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10 godzin, w tym:
a) wykład - 8 godz.
c) konsultacje - 2 godz.
RAZEM: 10 godzin, co odpowiada 0.4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zdobycie przez studentów wiedzy na temat UE i integracji Polski w ramach UE oraz nabycie przez nich wiadomości i umiejętności przydatnych do pozyskiwania środków z funduszy i programów UE, np. umiejętności wyszukiwania informacji o UE i oferowanych przez nią funduszy dla różnych kategorii ewentualnych beneficjantów.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System prawa unijnego – elementy składowe, zasady (po wejściu w życie Traktatu z Lizbony).
2.	Główne organy (tzw. instytucje UE) i procedury decyzyjne Unii Europejskiej i EURATOM-u po wejściu w życie Traktatu z Lizbony.
3.	Integracja Polski z UE.
4.	Geneza i ewolucja polityki regionalnej UE (założenia, okresy, cele, zasady, instrumenty, ocena) .
5.	Środki  z unijnych funduszy strukturalnych i Funduszu Spójności dla Polski w latach 2014-2020. Ogólna charakterystyka polskich Programów Operacyjnych i instytucjonalnego schematu zarządzania ich realizacją.
6.	„Horyzont 2020 – Program Ramowy w zakresie badań naukowych i innowacji (2014-2020)”
7.	Unijny program edukacyjny ErasmusPlus: wyjazdy studentów na studia i praktyki.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.Jacek Barcik, Aleksandra Wentkowska: Prawo Unii Europejskiej, Wydawnictwo C.H.Beck, Warszawa  2014
2.	 Prawo Unii Europejskiej. Vademecum. Instytucje i porządek prawny. Prawo materialne; praca zbiorowa pod red. A. Zawadzkiej-Łojek, R. Grzeszczaka, A. Łazowskiego, Instytut Wydawniczy EuroPrawo, Warszawa  2014
3.	Sławomir Pastuszka: Polityka regionalna Unii Europejskiej – cele, narzędzia, efekty; wydawnictwo Difin SA, Warszawa 2012
Adresy internetowe: www.europa.eu  ,  www.polskawue.gov.pl, www.funduszeeuropejskie.gov.pl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K_W23: </w:t>
      </w:r>
    </w:p>
    <w:p>
      <w:pPr/>
      <w:r>
        <w:rPr/>
        <w:t xml:space="preserve">ma podstawową wiedzę z zakresu zarządzania, w tym zarządzania jakością; zna ogólne zasady tworzenia i rozwoju form indywidualnej przedsiębiorczości, wykorzystującej wiedzę z zakresu kierunku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K_U06: </w:t>
      </w:r>
    </w:p>
    <w:p>
      <w:pPr/>
      <w:r>
        <w:rPr/>
        <w:t xml:space="preserve">ma umiejętność samokształcenia się, m.in. w celu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K_K01, K_K02, K_K03, K_K04, K_K05, K_K06: </w:t>
      </w:r>
    </w:p>
    <w:p>
      <w:pPr/>
      <w:r>
        <w:rPr/>
        <w:t xml:space="preserve">rozumie potrzebę i zna możliwości ciągłego dokształcania się (studia drugiego i trzeciego stopnia, studia podyplomowe, kursy) - podnoszenia kompetencji zawodowych, osobistych i społecznych
ma świadomość ważności i rozumie pozatechniczne aspekty i skutki działalności inżyniera geodety i kartografa, w tym jej wpływ na środowisko i konflikty społeczne, i związaną z tym odpowiedzialność za podejmowane decyzje
ma świadomość ważności zachowania w sposób profesjonalny, przestrzegania zasad etyki zawodowej i poszanowania różnorodności poglądów i kultur
ma świadomość odpowiedzialności za pracę własną oraz gotowość podporządkowania się zasadom pracy w zespole i ponoszenia odpowiedzialności za wspólnie realizowane zadania
potrafi myśleć i działać w sposób przedsiębiorczy
ma świadomość roli społecznej absolwenta uczelni technicznej, a zwłaszcza rozumie potrzebę formułowania i przekazywania społeczeństwu - m.in. poprzez środki masowego przekazu - informacji i opinii dotyczących osiągnięć geodezji i kartografii i innych aspektów działalności inżyniera geodety i kartografa; podejmuje starania, aby przekazać takie informacje i opinie w sposób powszechnie zrozumiały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2026-05-29T23:38:47+02:00</dcterms:created>
  <dcterms:modified xsi:type="dcterms:W3CDTF">2026-05-29T23:38:47+02:00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