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 laboratorium.
2) Praca własna studenta– 10 godzin, w tym:
a)	 5 godz. – bieżące przygotowywanie się studenta do ćwiczeń laboratoryjnych, 
b)	 5 godz. – studia literaturowe, uporządkowanie i rozszerzenie wiedzy zdobytej                na zajęciach.
 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 punktu ECTS – 15 godz. 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wybranych maszyn do obróbki skrawaniem, wybranych maszyn roboczych i pojazdów oraz podstawową nomenklaturą techniczną.
Dodatkowym celem jest zapoznanie studentów z profilem wydziału i bazą laboratoryjną oraz przygotowanie do zajęć na dalszych latach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 
2.	Podstawą oceny (punktowa od 0 do 3) jest: aktywność i inicjatywa w czasie zajęć lub zaliczenie prostego testu na zakończenie zajęć.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3.	Ćwiczenie nie zaliczone we właściwym terminie, musi być odrobione indywidualnie z innym zespołem, w możliwie szybkim czasie, pod opieką prowadzącego, u którego ćwiczenie należało odrobić zgodnie z harmonogramem.
4.	Łączną ocenę, na koniec semestru, ustala się na podstawie sumy punktów przyznanych za każde ćwiczenie wg zasady:
5.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1150-MB000-ISP-0108_W06: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1150-MB000-ISP-0108_W07: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InzA_U08, T1A_U02,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1150-MB000-ISP-0108_U07: </w:t>
      </w:r>
    </w:p>
    <w:p>
      <w:pPr/>
      <w:r>
        <w:rPr/>
        <w:t xml:space="preserve">Student potrafi rozróżnić i nazwać w języku technicznym podstawowe maszyny budowlane i urządzenia transportu bliskiego oraz elementy ich budowy i zakres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2026-04-22T00:20:00+02:00</dcterms:created>
  <dcterms:modified xsi:type="dcterms:W3CDTF">2026-04-22T00:20:00+02:00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