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
b) laboratorium - 8 godz. ;
c) konsultacje - 9 godz.;
2. Praca własna studenta – 35 godzin, w tym:
a)	 20 godz. – bieżące przygotowywanie się studenta do ćwiczeń laboratoryjnych, studia literaturowe,
b)	 15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- 25.,  w tym: 
a) wykład - 8 godz. ;
b) laboratorium - 8 godz. ;
c) konsultacje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8 godz.
2) 22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1150-MB000-IZP-0223_W02: </w:t>
      </w:r>
    </w:p>
    <w:p>
      <w:pPr/>
      <w:r>
        <w:rPr/>
        <w:t xml:space="preserve">Posiada wiedzę nt. posługiwania się środowiskiem programowania obiektowego.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1150-MB000-IZP-0223_U02: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1150-MB000-IZP-0223_U03: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1150-MB000-IZP-0223_K01: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2026-04-18T23:09:43+02:00</dcterms:created>
  <dcterms:modified xsi:type="dcterms:W3CDTF">2026-04-18T23:09:43+02:00</dcterms:modified>
</cp:coreProperties>
</file>

<file path=docProps/custom.xml><?xml version="1.0" encoding="utf-8"?>
<Properties xmlns="http://schemas.openxmlformats.org/officeDocument/2006/custom-properties" xmlns:vt="http://schemas.openxmlformats.org/officeDocument/2006/docPropsVTypes"/>
</file>