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- 16.,  w tym: 
a) laboratorium - 15. godz.;
b) konsultacje - 1. godz.;
 2) Praca własna studenta – 9 godzin, w tym:
a)	4 godz. - przygotowanie do ćwiczeń laboratoryjnych,
b)	5 godz. – opracowanie sprawozdań, wyników z ćwiczeń laboratoryjnych.
3) RAZEM –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a) laboratorium - 15.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1) 15 godz. - ćwiczenia  laboratoryjne,
2) 4 godz. – przygotowywanie się do ćwiczeń laboratoryjnych,
3) 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 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1150-MB000-ISP-0308_W02: </w:t>
      </w:r>
    </w:p>
    <w:p>
      <w:pPr/>
      <w:r>
        <w:rPr/>
        <w:t xml:space="preserve">Zna podstawowe parametry stanów termodynamicznych i wielkości
energetyczne związane z badaniami wymiany i przepływu ciepła, wilgotności powietrza,  sprężarki tłokowej, układu klimatyzacji oraz wykresu indykatorowego.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2024-04-28T06:50:50+02:00</dcterms:created>
  <dcterms:modified xsi:type="dcterms:W3CDTF">2024-04-28T06:50:50+02:00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