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1150-MT000-IZP-0119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20 godz. wykładu.
2) Praca własna studenta: 55 godzin, w tym:
a)	10 godzin na studia literaturowe, 
b)	25 godzin na przygotowanie do zajęć, 
c)	20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20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pierwszego (obejmującego obróbkę plastyczną)  kolokwium,
•	20 pkt. z drugiego (obejmującego odlewnictwo i spawalnictwo),  
•	25 pkt. z trzeciego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podanych w punkcie 3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1150-MT000-IZP-0119_W02: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1150-MT000-IZP-0119_W03: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1150-MT000-IZP-0119_W04: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KMchtr_W20, KMchtr_W21</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KMchtr_W05</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1150-MT000-IZP-0119_W07: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1150-MT000-IZP-0119_U01: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keepNext w:val="1"/>
        <w:spacing w:after="10"/>
      </w:pPr>
      <w:r>
        <w:rPr>
          <w:b/>
          <w:bCs/>
        </w:rPr>
        <w:t xml:space="preserve">Efekt 1150-MT000-IZP-0119_U02: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pStyle w:val="Heading3"/>
      </w:pPr>
      <w:bookmarkStart w:id="4" w:name="_Toc4"/>
      <w:r>
        <w:t>Profil ogólnoakademicki - kompetencje społeczne</w:t>
      </w:r>
      <w:bookmarkEnd w:id="4"/>
    </w:p>
    <w:p>
      <w:pPr>
        <w:keepNext w:val="1"/>
        <w:spacing w:after="10"/>
      </w:pPr>
      <w:r>
        <w:rPr>
          <w:b/>
          <w:bCs/>
        </w:rPr>
        <w:t xml:space="preserve">Efekt 1150-MT000-IZP-0119_K01: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KMchtr_K03</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2024-05-01T22:17:20+02:00</dcterms:created>
  <dcterms:modified xsi:type="dcterms:W3CDTF">2024-05-01T22:17:20+02:00</dcterms:modified>
</cp:coreProperties>
</file>

<file path=docProps/custom.xml><?xml version="1.0" encoding="utf-8"?>
<Properties xmlns="http://schemas.openxmlformats.org/officeDocument/2006/custom-properties" xmlns:vt="http://schemas.openxmlformats.org/officeDocument/2006/docPropsVTypes"/>
</file>