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1150-MTMRC-IZP-0409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laboratorium- 10 godz.;
2) Praca własna studenta -  65 godz, w tym 
a)	25 godz. – bieżące przygotowywanie się do laboratoriów i wykładów,
b)	20 godz. – studia literaturowe,
c)	10 godz. – realizacja zadań domowych,
d)	10 godz. - przygotowywanie się do sprawdzianów, kolokwiów.
3) RAZEM – 85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- 20., w tym:
a)	wykład -10 godz.;
b)	laboratorium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- 40 godz., w tym:
1)	10 godz. - ćwiczenia laboratoryjne,
2)	10 godz. – przygotowywanie się do ćwiczeń laboratoryjnych,
3)	10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Świadomość skutków działań inżynierskich dotyczących grupy maszyn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0.5*OW + 0.5*OL,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1150-MTMRC-IZP-0409_U1: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1150-MTMRC-IZP-0409_U2: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1150-MTMRC-IZP-0409_U3: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1150-MTMRC-IZP-0409_U4: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T1A_U08, T1A_U09, InzA_U01, T1A_U08, T1A_U09, T1A_U10, T1A_U08, T1A_U09, T1A_U15, T1A_U16, T1A_U12, T1A_U16, InzA_U04, T1A_U16, InzA_U08, T1A_U07, T1A_U09, InzA_U08, T1A_U15, InzA_U05</w:t>
      </w:r>
    </w:p>
    <w:p>
      <w:pPr>
        <w:keepNext w:val="1"/>
        <w:spacing w:after="10"/>
      </w:pPr>
      <w:r>
        <w:rPr>
          <w:b/>
          <w:bCs/>
        </w:rPr>
        <w:t xml:space="preserve">Efekt 1150-MTMRC-IZP-0409_U5: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1150-MTMRC-IZP-0409_K1: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2024-05-03T06:29:42+02:00</dcterms:created>
  <dcterms:modified xsi:type="dcterms:W3CDTF">2024-05-03T06:29:42+02:00</dcterms:modified>
</cp:coreProperties>
</file>

<file path=docProps/custom.xml><?xml version="1.0" encoding="utf-8"?>
<Properties xmlns="http://schemas.openxmlformats.org/officeDocument/2006/custom-properties" xmlns:vt="http://schemas.openxmlformats.org/officeDocument/2006/docPropsVTypes"/>
</file>