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diagnostyczne systemów mechatronicznych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Gumiński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1150-MT000-IZP-0342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- 12 w tym: 
a) laboratorium -10 godz.;
b) konsultacje - 2 godz.;
 2) Praca własna studenta – 13 godzin, przygotowanie do zajęć, opracowanie sprawozdań z ćwiczeń.
3) RAZEM – 25 godzin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- 12 godziny w tym:
a) laboratorium -15godz.;
b) konsultacje - 2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– 25 godzin, w tym: 
a) laboratorium -15 godz.;
b) konsultacje - 2 godz.;
c)13 godzin, przygotowanie do zajęć, opracowanie sprawozdań z ćwiczeń.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środowiska obliczeniowego MATLAB/SIMULINK, podstawy mechaniki.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o budowie modeli obiektów dynamicznych. Zdobycie umiejętności symulacji i badania wpływu zmiany parametrów (spowodowanej uszkodzeniem) na pracę analizowanego obiektu. Zdobycie wiedzy na temat telediagnostyki układów.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 Praktyczne zapoznanie się z wykonywaniem symulacji obiektów dynamicznych. W ramach laboratorium prowadzone będą ćwiczenie z zakresu: 
Modelowanie układów mechatronicznych (MOBIUS), Telediagnostyka układów, Złożony model diagnostyczny układu wielodomenowego, Model maszyny elektrycznej , Model magazynu energii.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Laboratorium:
Przed rozpoczęciem ćwiczenia sprawdzane jest przygotowanie studentów (tzw. „wejściówka”). Każde ćwiczenie jest zaliczane na podstawie poprawnie wykonanego sprawozdania w formie papierowej lub elektronicznej, przyjętego i ocenionego przez prowadzącego dane ćwiczenia.
Do zaliczenia przedmiotu wymagane jest zaliczenie wszystkich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http://WWW.mathworks.com/help/simulink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1150-MT000-IZP-0342_W1: </w:t>
      </w:r>
    </w:p>
    <w:p>
      <w:pPr/>
      <w:r>
        <w:rPr/>
        <w:t xml:space="preserve">Posiada wiedzę o budowaniu modeli obiektów dynamicznych.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wiedzy odbywa się w formie ustnej lub pisemnej poprzez odpowiedź na postawione pytanie przedmiotowe oraz ocenę sprawozdań.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KMchtr_W07, KMchtr_W15, KMchtr_W18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InzA_W02, T1A_W03, T1A_W04, T1A_W07, InzA_W02, T1A_W03, T1A_W04, T1A_W07,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1150-MT000-IZP-0342_U1: </w:t>
      </w:r>
    </w:p>
    <w:p>
      <w:pPr/>
      <w:r>
        <w:rPr/>
        <w:t xml:space="preserve">Potrafi dokonać analizy i identyfikacji sposobu funkcjonowania układu mechatronicznego, ocenić i sformułować wnioski w prostych zadaniach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wiedzy odbywa się poprzez ocenę sprawozdań z realizacji postawionych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KMchtr_U03, KMchtr_U07, KMchtr_U10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InzA_U02, T1A_U08, T1A_U09, InzA_U01, T1A_U07, T1A_U08, T1A_U09, InzA_U01, InzA_U02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2026-05-30T00:47:18+02:00</dcterms:created>
  <dcterms:modified xsi:type="dcterms:W3CDTF">2026-05-30T00:47:18+02:00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