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Dr inż. Szymon Gontarz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1150-MT000-IZP-0315</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22, w tym:
a) wykład -10 godz.;
b) laboratorium- 10 godz.;
c) konsultacje - 1 godz.;
d) egzamin – 1 godz.;
2) Praca własna studenta – 30, w tym:
a) przygotowanie do zajęć: 5 godz.;
b) studia literaturowe – 5 godz.;
c) przygotowywanie sprawozdań z ćwiczeń laboratoryjnych : 10 godz.;
d) przygotowywanie się studenta do egzaminu: 10 godz.
3) RAZEM – 52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liczba godzin kontaktowych - 22, w tym:
a) wykład -10 godz.;
b) laboratorium- 10 godz.;
c) konsultacje - 1 godz.;
d) egzamin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–20 godzin,  w tym:
a) udział w ćwiczeniach laboratoryjnych - 10 godz.
b) przygotowywanie sprawozdań z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analizy matematycznej, postaw fizyki w szczególności teorii drgań, mechaniki oraz wytrzymałości materiałów.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przydatnej do formułowania i rozwiązywania prostych zadań z zakresu diagnostyki, eksploatacji obiektów technicznych. Poznanie budowy i zasady działania systemów diagnostycznych. Zrozumienie aspektów ekonomicznych, społecznych, prawnych i eksploatacyjnych w dziedzinie diagnostyki oraz trendów rozwoju współczesnych układów mechanicznych.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Ogólna wiedza nt. zasady rozwiązywania problemów diagnostyki technicznej oraz metod i środków diagnozowania. 
1. Modele błędów i procesów.
2. Fizykalne modele sygnałów.
3. Detekcja błędu na podstawie modelu sygnału.
4. Analiza sygnałów okresowych.
5. Detekcja błędów i uszkodzeń za pomocą metod identyfikacji procesów.
6. Porównanie metod detekcji uszkodzeń.
7. Procedury diagnostyczne.
8. Diagnozowanie uszkodzeń za pomocą metod klasyfikacji.
9. Wnioskowanie diagnostyczne 
10. Metody statystyczne w diagnostyce.
11. Eksperymenty diagnostyczne.
Laboratorium:
Praktyczne zapoznanie się z metodami i środkami diagnostyki technicznej.
1. Wykorzystanie zjawisk falowych w diagnostyce konstrukcji sprężonych.
2. Diagnostyka stanu naprężeń - diagnostyka gigacyklowego procesu zmęczeniowego 
3. Diagnostyka hydraulicznych elementów wykonawczych układów hydraulicznych.
4. Diagnostyka konstrukcji za pomocą analizy modalnej.
</w:t>
      </w:r>
    </w:p>
    <w:p>
      <w:pPr>
        <w:keepNext w:val="1"/>
        <w:spacing w:after="10"/>
      </w:pPr>
      <w:r>
        <w:rPr>
          <w:b/>
          <w:bCs/>
        </w:rPr>
        <w:t xml:space="preserve">Metody oceny: </w:t>
      </w:r>
    </w:p>
    <w:p>
      <w:pPr>
        <w:spacing w:before="20" w:after="190"/>
      </w:pPr>
      <w:r>
        <w:rPr/>
        <w:t xml:space="preserve">Laboratorium: 
Każde ćwiczenie laboratoryjne ocenione zostaje bezpośrednio po jego zakończeniu. Podstawą oceny jest poprawne wykonanie ćwiczenia zakończone sprawozdaniem oraz jego ustne obronienie. Jest to możliwe po dopuszczeniu studenta do wykonania ćwiczenia po uprzedniej weryfikacji teoretycznego przygotowania studenta do zajęć.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Wykład: Zaliczenie części wykładowej odbywa się podczas egzaminu pisemnego, zgodnie z harmonogramem sesji egzaminacyjnej.
Ocena łączna: Ocena łączna z przedmiotu jest średnią ważoną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Cempel Cz.: 1989. Diagnostyka wibroakustyczna maszyn. PWN Warszawa.
2. Smalko Z.: 1998. Podstawy Eksploatacji Technicznej Pojazdów. Oficyna Wydawnicza Politechniki Warszawskiej.
3. Levitt: 1997. The Handbook of Maintenance Management, Idustrial Pres Jnc.
4. Radkowski S.: 2002. Wibroakustyczna Diagnostyka Uszkodzeń Niskoenergetycznych. ITE Radom-Warszawa
</w:t>
      </w:r>
    </w:p>
    <w:p>
      <w:pPr>
        <w:keepNext w:val="1"/>
        <w:spacing w:after="10"/>
      </w:pPr>
      <w:r>
        <w:rPr>
          <w:b/>
          <w:bCs/>
        </w:rPr>
        <w:t xml:space="preserve">Witryna www przedmiotu: </w:t>
      </w:r>
    </w:p>
    <w:p>
      <w:pPr>
        <w:spacing w:before="20" w:after="190"/>
      </w:pPr>
      <w:r>
        <w:rPr/>
        <w:t xml:space="preserve">Wszystkie materiały do przedmiotu Podstawy Diagnostyki dostępne są na stronie intranetowej przedmiotu: http://Www.mechatronika.simr.pw.edu.pl po zalogowaniu. Hasło dostępu i login podane zostaną przez prowadzącego zajęcia.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1150-MT000-ISP-0315_W1: </w:t>
      </w:r>
    </w:p>
    <w:p>
      <w:pPr/>
      <w:r>
        <w:rPr/>
        <w:t xml:space="preserve">Posiada uporządkowaną, podbudowaną teoretycznie wiedzę ogólną obejmującą kluczowe zagadnienia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KMchtr_W05, KMchtr_W14</w:t>
      </w:r>
    </w:p>
    <w:p>
      <w:pPr>
        <w:spacing w:before="20" w:after="190"/>
      </w:pPr>
      <w:r>
        <w:rPr>
          <w:b/>
          <w:bCs/>
        </w:rPr>
        <w:t xml:space="preserve">Powiązane efekty obszarowe: </w:t>
      </w:r>
      <w:r>
        <w:rPr/>
        <w:t xml:space="preserve">T1A_W02, T1A_W07, InzA_W02, InzA_W03, T1A_W02, InzA_W02</w:t>
      </w:r>
    </w:p>
    <w:p>
      <w:pPr>
        <w:keepNext w:val="1"/>
        <w:spacing w:after="10"/>
      </w:pPr>
      <w:r>
        <w:rPr>
          <w:b/>
          <w:bCs/>
        </w:rPr>
        <w:t xml:space="preserve">Efekt 1150-MT000-IZP-0315-W2: </w:t>
      </w:r>
    </w:p>
    <w:p>
      <w:pPr/>
      <w:r>
        <w:rPr/>
        <w:t xml:space="preserve">Posiada wiedzę ogólną niezbędną do rozumienia ekonomicznych, społecznych i prawnych aspektów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1150-MT000-IZP-0315-W3: </w:t>
      </w:r>
    </w:p>
    <w:p>
      <w:pPr/>
      <w:r>
        <w:rPr/>
        <w:t xml:space="preserve">Posiada podstawową wiedzę o trendach rozwojowych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1150-MT000-IZP-0315-W4: </w:t>
      </w:r>
    </w:p>
    <w:p>
      <w:pPr/>
      <w:r>
        <w:rPr/>
        <w:t xml:space="preserve">Posiada podstawową wiedzę o cyklu życia obiektów technicznych i rozumie powagę aspektów ekologicznych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1150-MT000-IZP-0315-U1: </w:t>
      </w:r>
    </w:p>
    <w:p>
      <w:pPr/>
      <w:r>
        <w:rPr/>
        <w:t xml:space="preserve">Potrafi zaplanować i wykonać zadania związane z badaniami diagnostycznymi używając właściwych metod i środków.</w:t>
      </w:r>
    </w:p>
    <w:p>
      <w:pPr>
        <w:spacing w:before="60"/>
      </w:pPr>
      <w:r>
        <w:rPr/>
        <w:t xml:space="preserve">Weryfikacja: </w:t>
      </w:r>
    </w:p>
    <w:p>
      <w:pPr>
        <w:spacing w:before="20" w:after="190"/>
      </w:pPr>
      <w:r>
        <w:rPr/>
        <w:t xml:space="preserve">Krótki sprawdzian ustny/pisemny weryfikujący przygotowanie studenta do ćwiczeń  w laboratorium, ocena sprawozdania</w:t>
      </w:r>
    </w:p>
    <w:p>
      <w:pPr>
        <w:spacing w:before="20" w:after="190"/>
      </w:pPr>
      <w:r>
        <w:rPr>
          <w:b/>
          <w:bCs/>
        </w:rPr>
        <w:t xml:space="preserve">Powiązane efekty kierunkowe: </w:t>
      </w:r>
      <w:r>
        <w:rPr/>
        <w:t xml:space="preserve">KMchtr_U12, KMchtr_U13, KMchtr_U20</w:t>
      </w:r>
    </w:p>
    <w:p>
      <w:pPr>
        <w:spacing w:before="20" w:after="190"/>
      </w:pPr>
      <w:r>
        <w:rPr>
          <w:b/>
          <w:bCs/>
        </w:rPr>
        <w:t xml:space="preserve">Powiązane efekty obszarowe: </w:t>
      </w:r>
      <w:r>
        <w:rPr/>
        <w:t xml:space="preserve">T1A_U07, T1A_U08, InzA_U01, T1A_U08, T1A_U13, InzA_U01, T1A_U16, InzA_U08</w:t>
      </w:r>
    </w:p>
    <w:p>
      <w:pPr>
        <w:keepNext w:val="1"/>
        <w:spacing w:after="10"/>
      </w:pPr>
      <w:r>
        <w:rPr>
          <w:b/>
          <w:bCs/>
        </w:rPr>
        <w:t xml:space="preserve">Efekt 1150-MT000-IZP-0315-U2: </w:t>
      </w:r>
    </w:p>
    <w:p>
      <w:pPr/>
      <w:r>
        <w:rPr/>
        <w:t xml:space="preserve">Potrafi odpowiednio ustalić priorytety służące realizacji określonego przez innych zadania.</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KMchtr_U02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1150-MT000-IZP-0315_K1: </w:t>
      </w:r>
    </w:p>
    <w:p>
      <w:pPr/>
      <w:r>
        <w:rPr/>
        <w:t xml:space="preserve">Potrafi pracować samodzielnie i w zespole</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2024-05-03T11:19:35+02:00</dcterms:created>
  <dcterms:modified xsi:type="dcterms:W3CDTF">2024-05-03T11:19:35+02:00</dcterms:modified>
</cp:coreProperties>
</file>

<file path=docProps/custom.xml><?xml version="1.0" encoding="utf-8"?>
<Properties xmlns="http://schemas.openxmlformats.org/officeDocument/2006/custom-properties" xmlns:vt="http://schemas.openxmlformats.org/officeDocument/2006/docPropsVTypes"/>
</file>