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1150-MT000-IZP-0336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wykład – 10 godz.;
b) laboratorium – 20 godz.;
c) konsultacje – 2 godz.
2) Praca własna studenta – 50 godz., w tym:
a) studia literaturowe – 25 godz.;
b) przygotowywanie się studenta do kolokwium – 5 godz.;
c) przygotowywanie się studenta do ćwiczeń laboratoryjnych – 20 godz.
3) RAZEM – 82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wykład – 10 godz.;
b) laboratorium – 20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40 godz., w tym:
a) laboratorium – 20 godz.;
b) przygotowywanie się studenta do ćwiczeń laboratoryjnych – 20 godz.
.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 w środowisku Matlab i LabView.</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kontekstowymi metodami przetwarzania obrazów oraz podstawowymi metodami analizy obrazów. Nauczenie studentów budowy programów służących do akwizycji, przetwarzania i analizy obrazów.
</w:t>
      </w:r>
    </w:p>
    <w:p>
      <w:pPr>
        <w:keepNext w:val="1"/>
        <w:spacing w:after="10"/>
      </w:pPr>
      <w:r>
        <w:rPr>
          <w:b/>
          <w:bCs/>
        </w:rPr>
        <w:t xml:space="preserve">Treści kształcenia: </w:t>
      </w:r>
    </w:p>
    <w:p>
      <w:pPr>
        <w:spacing w:before="20" w:after="190"/>
      </w:pPr>
      <w:r>
        <w:rPr/>
        <w:t xml:space="preserve">Wykład: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Laboratorium: Wprowadzenie do Przyborników Akwizycji i Przetwarzania Obrazów (Image Acquisition Toolbox, Image Processing Toolbox) środowiska Matlab. Struktury danych stosowanych do reprezentacji obrazów i metody ich konwersji. Dyskretna struktura obrazów cyfrowych. Przekształcenia geometryczne, arytmetyczne i logiczne obrazów. Przekształcenia punktowe obrazu. Filtracja kontekstowa obrazu. Transformacja Fouriera obrazów cyfrowych. Przekształcenia morfologiczne obrazu. Detekcja linii konturowych za pomocą transformaty Hough'a. Segmentacja obrazu. Wyznaczanie cech figur (obiektów) obrazu. Rejestracja i analiza obrazów w środowisku LabVIEW.
</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http://Www.mechatronika-simr.home.pl/s_mech/przedm,1,show_plan,112,Przetwarzanie_i_Analiza_Obraz%C3%B3w_WLab.html.  Materiały dydaktyczne są dostępne w internecie po zalogowaniu. Login i hasło studenci otrzymują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w:t>
      </w:r>
    </w:p>
    <w:p>
      <w:pPr>
        <w:spacing w:before="20" w:after="190"/>
      </w:pPr>
      <w:r>
        <w:rPr>
          <w:b/>
          <w:bCs/>
        </w:rPr>
        <w:t xml:space="preserve">Powiązane efekty obszarowe: </w:t>
      </w:r>
      <w:r>
        <w:rPr/>
        <w:t xml:space="preserve">T1A_W02, T1A_W04, InzA_W02</w:t>
      </w:r>
    </w:p>
    <w:p>
      <w:pPr>
        <w:pStyle w:val="Heading3"/>
      </w:pPr>
      <w:bookmarkStart w:id="3" w:name="_Toc3"/>
      <w:r>
        <w:t>Profil ogólnoakademicki - umiejętności</w:t>
      </w:r>
      <w:bookmarkEnd w:id="3"/>
    </w:p>
    <w:p>
      <w:pPr>
        <w:keepNext w:val="1"/>
        <w:spacing w:after="10"/>
      </w:pPr>
      <w:r>
        <w:rPr>
          <w:b/>
          <w:bCs/>
        </w:rPr>
        <w:t xml:space="preserve">Efekt 1150-MT000-IZP-0336_U1: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KMchtr_U01, KMchtr_U24</w:t>
      </w:r>
    </w:p>
    <w:p>
      <w:pPr>
        <w:spacing w:before="20" w:after="190"/>
      </w:pPr>
      <w:r>
        <w:rPr>
          <w:b/>
          <w:bCs/>
        </w:rPr>
        <w:t xml:space="preserve">Powiązane efekty obszarowe: </w:t>
      </w:r>
      <w:r>
        <w:rPr/>
        <w:t xml:space="preserve">T1A_U01, T1A_U15, InzA_U05</w:t>
      </w:r>
    </w:p>
    <w:p>
      <w:pPr>
        <w:keepNext w:val="1"/>
        <w:spacing w:after="10"/>
      </w:pPr>
      <w:r>
        <w:rPr>
          <w:b/>
          <w:bCs/>
        </w:rPr>
        <w:t xml:space="preserve">Efekt 1150-MT000-IZP-0336_U2: </w:t>
      </w:r>
    </w:p>
    <w:p>
      <w:pPr/>
      <w:r>
        <w:rPr/>
        <w:t xml:space="preserve">Student, który zaliczył przedmiot potrafi budować podstawowe programy w środowiskach Matlab i LabVIEW służące do akwizycji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KMchtr_U08</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1150-MT000-IZP-0336_U3: </w:t>
      </w:r>
    </w:p>
    <w:p>
      <w:pPr/>
      <w:r>
        <w:rPr/>
        <w:t xml:space="preserve">Student, który zaliczył przedmiot potrafi budować programy w środowiskach Matlab i LabVIEW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KMchtr_U18</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1150-MT000-IZP-0336_K1: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2024-05-07T12:06:51+02:00</dcterms:created>
  <dcterms:modified xsi:type="dcterms:W3CDTF">2024-05-07T12:06:51+02:00</dcterms:modified>
</cp:coreProperties>
</file>

<file path=docProps/custom.xml><?xml version="1.0" encoding="utf-8"?>
<Properties xmlns="http://schemas.openxmlformats.org/officeDocument/2006/custom-properties" xmlns:vt="http://schemas.openxmlformats.org/officeDocument/2006/docPropsVTypes"/>
</file>