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monitorowania maszyn roboczych</w:t>
      </w:r>
    </w:p>
    <w:p>
      <w:pPr>
        <w:keepNext w:val="1"/>
        <w:spacing w:after="10"/>
      </w:pPr>
      <w:r>
        <w:rPr>
          <w:b/>
          <w:bCs/>
        </w:rPr>
        <w:t xml:space="preserve">Koordynator przedmiotu: </w:t>
      </w:r>
    </w:p>
    <w:p>
      <w:pPr>
        <w:spacing w:before="20" w:after="190"/>
      </w:pPr>
      <w:r>
        <w:rPr/>
        <w:t xml:space="preserve">Prof. dr hab. inż. Jan Szlagowski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1150-MTRMR-IZP-0407</w:t>
      </w:r>
    </w:p>
    <w:p>
      <w:pPr>
        <w:keepNext w:val="1"/>
        <w:spacing w:after="10"/>
      </w:pPr>
      <w:r>
        <w:rPr>
          <w:b/>
          <w:bCs/>
        </w:rPr>
        <w:t xml:space="preserve">Semestr nominalny: </w:t>
      </w:r>
    </w:p>
    <w:p>
      <w:pPr>
        <w:spacing w:before="20" w:after="190"/>
      </w:pPr>
      <w:r>
        <w:rPr/>
        <w:t xml:space="preserve">7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- 22, w tym
a) wykład – 10 godz.;
b) laboratorium – 10 godz.;
c) konsultacje – 1 godz.;
d) kolokwium – 1 godz.;
2) Praca własna studenta -  40 godzin, w tym:
a)	 5 godz. – bieżące przygotowywanie się studenta do wykładu;
b)	 5 godz. – studia literaturowe;
c)	 10 godz. – przygotowywanie się studenta do kolokwium i wykonania pracy domowej;
d)	 10 godz. – przygotowywanie się studenta do ćwiczeń;
e)	 10 godz. – wykonanie sprawozdań.
3) RAZEM –62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- 22, w tym:
a) wykład – 10 godz.;
b) laboratorium – 10 godz.;
c) konsultacje – 1 godz.;
d) kolokwium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30 godz., w tym:
1) ćwiczenia laboratoryjne – 10 godz.;
2) 10 godz. – przygotowywanie się do ćwiczeń laboratoryjnych;
3) 10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automatyzacji maszyn roboczych.</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podstawowych zasad budowy systemów HMI .</w:t>
      </w:r>
    </w:p>
    <w:p>
      <w:pPr>
        <w:keepNext w:val="1"/>
        <w:spacing w:after="10"/>
      </w:pPr>
      <w:r>
        <w:rPr>
          <w:b/>
          <w:bCs/>
        </w:rPr>
        <w:t xml:space="preserve">Treści kształcenia: </w:t>
      </w:r>
    </w:p>
    <w:p>
      <w:pPr>
        <w:spacing w:before="20" w:after="190"/>
      </w:pPr>
      <w:r>
        <w:rPr/>
        <w:t xml:space="preserve">Wykład. . Cele monitorowania i automatyzacji maszyn. Modele funkcjonalne maszyn. Przykłady budowania modeli funkcjonalnych: koparki, ładowarki, spycharki, zgarniarki, suwnicy, dźwigu osobowego, żurawia wieżowego i teleskopowego, ciągnika rolniczego i wózka widłowego. Wybór parametrów do monitorowania. Dobór systemów mechatronicznych (czujniki, komputery pokładowe, panele operatorskie). Sposoby budowania systemów (operator maszyna - budowlana – otoczenie). Przykłady rozwiązań dla typowych maszyn. (Koparki, ładowarki, spychacze, żurawie, suwnice itp.)
Laboratorium. 
Interfejs operatora maszyny roboczej aplikacja, Monitorowanie parametrów układu hydraulicznego Diagnostyka systemu komunikacji komputera pokładowego maszyny opartego na sieci CAN, Monitorowanie procesu cyklu roboczego koparki podsiębiernej
</w:t>
      </w:r>
    </w:p>
    <w:p>
      <w:pPr>
        <w:keepNext w:val="1"/>
        <w:spacing w:after="10"/>
      </w:pPr>
      <w:r>
        <w:rPr>
          <w:b/>
          <w:bCs/>
        </w:rPr>
        <w:t xml:space="preserve">Metody oceny: </w:t>
      </w:r>
    </w:p>
    <w:p>
      <w:pPr>
        <w:spacing w:before="20" w:after="190"/>
      </w:pPr>
      <w:r>
        <w:rPr/>
        <w:t xml:space="preserve">Wykład:
Zaliczany jest na podstawie kolokwium oraz pracy domowej.
Laboratorium:
Przed rozpoczęciem ćwiczenia sprawdzane jest przygotowanie studentów (tzw. „wejściówka”). Każde ćwiczenie jest zaliczane na podstawie poprawnie wykonanego sprawozdania, przyjętego i ocenionego przez prowadzącego dane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Automatyzacja pracy maszyn roboczych. Metodyka i zastosowania, Wyd. WKŁ Warszawa 2010.
2. Zaawansowane metody automatyzacji pracy maszyn roboczych, Wyd. ITEE Radom 2013.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1150-MTRMR-IZP-0407_W1: </w:t>
      </w:r>
    </w:p>
    <w:p>
      <w:pPr/>
      <w:r>
        <w:rPr/>
        <w:t xml:space="preserve">Ma wiedzę o celach i systemach monitorowania i automatyzacji pracy maszyn. </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1150-MTRMR-IZP-0407_W2: </w:t>
      </w:r>
    </w:p>
    <w:p>
      <w:pPr/>
      <w:r>
        <w:rPr/>
        <w:t xml:space="preserve">Ma wiedzę na temat doboru systemów mechatronicznych (czujniki, komputery pokładowe, panele operatorskie). </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1150-MTRMR-IZP-0407_W3: </w:t>
      </w:r>
    </w:p>
    <w:p>
      <w:pPr/>
      <w:r>
        <w:rPr/>
        <w:t xml:space="preserve">Ma wiedzę na temat sposobów budowania systemów HMI (operator maszyna  budowlana – otoczenie).</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1150-MTRMR-IZP-0407_W4: </w:t>
      </w:r>
    </w:p>
    <w:p>
      <w:pPr/>
      <w:r>
        <w:rPr/>
        <w:t xml:space="preserve">Ma wiedzę na temat wyboru parametrów do monitorowania dla: koparki, ładowarki, spycharki, zgarniarki, suwnicy, dźwigu osobowego, żurawia wieżowego i teleskopowego, ciągnika rolniczego i wózka widłowego.</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pStyle w:val="Heading3"/>
      </w:pPr>
      <w:bookmarkStart w:id="3" w:name="_Toc3"/>
      <w:r>
        <w:t>Profil ogólnoakademicki - umiejętności</w:t>
      </w:r>
      <w:bookmarkEnd w:id="3"/>
    </w:p>
    <w:p>
      <w:pPr>
        <w:keepNext w:val="1"/>
        <w:spacing w:after="10"/>
      </w:pPr>
      <w:r>
        <w:rPr>
          <w:b/>
          <w:bCs/>
        </w:rPr>
        <w:t xml:space="preserve">Efekt 1150-MTRMR-IZP-0407_U1: </w:t>
      </w:r>
    </w:p>
    <w:p>
      <w:pPr/>
      <w:r>
        <w:rPr/>
        <w:t xml:space="preserve">Zna sposoby  i metody budowania systemów HMI (operator maszyna - budowlana – otoczenie). </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1150-MTRMR-IZP-0407_U2: </w:t>
      </w:r>
    </w:p>
    <w:p>
      <w:pPr/>
      <w:r>
        <w:rPr/>
        <w:t xml:space="preserve">Potrafi wybrać parametry do monitorowania, dobrać systemy mechatroniczne (czujniki, komputery pokładowe, panele operatorskie) dla typowych maszyn (koparki, ładowarki, spychacze, żurawie, suwnice itp.).</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1150-MTRMR-IZP-0407_U3: </w:t>
      </w:r>
    </w:p>
    <w:p>
      <w:pPr/>
      <w:r>
        <w:rPr/>
        <w:t xml:space="preserve">Potrafi  zaprojektować i zbudować system monitorowania dla wybranej maszyny.</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pStyle w:val="Heading3"/>
      </w:pPr>
      <w:bookmarkStart w:id="4" w:name="_Toc4"/>
      <w:r>
        <w:t>Profil ogólnoakademicki - kompetencje społeczne</w:t>
      </w:r>
      <w:bookmarkEnd w:id="4"/>
    </w:p>
    <w:p>
      <w:pPr>
        <w:keepNext w:val="1"/>
        <w:spacing w:after="10"/>
      </w:pPr>
      <w:r>
        <w:rPr>
          <w:b/>
          <w:bCs/>
        </w:rPr>
        <w:t xml:space="preserve">Efekt 1150-MTRMR-IZP-0407_K1: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efekty kierunkowe: </w:t>
      </w:r>
      <w:r>
        <w:rPr/>
        <w:t xml:space="preserve">KMchtr_K04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2026-05-30T00:52:36+02:00</dcterms:created>
  <dcterms:modified xsi:type="dcterms:W3CDTF">2026-05-30T00:52:36+02:00</dcterms:modified>
</cp:coreProperties>
</file>

<file path=docProps/custom.xml><?xml version="1.0" encoding="utf-8"?>
<Properties xmlns="http://schemas.openxmlformats.org/officeDocument/2006/custom-properties" xmlns:vt="http://schemas.openxmlformats.org/officeDocument/2006/docPropsVTypes"/>
</file>