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Koordynator przedmiotu: Prodziekan ds. Studiów Niestacjonarnych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1150-00000-IZP-0605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 - 10 godz. ćwiczeń.
2) Praca własna studenta – 23 godzin, w tym:
a) studia literaturowe: 8 godz.
b) praca nad przygotowaniem prezentacji: 15 godz.
3) RAZEM – 33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0,4 punktu ECTS – 10 godz. ćwiczeń.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- 25 godzin, w tym: 
a) udział w ćwiczeniach - 10 godzin;
b) praca nad przygotowaniem prezentacji – 15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Przygotowanie studentów do wykonania pracy dyplomowej i prezentacji dyplomowej. Przygotowanie studentów do egzaminu dyplomowego.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Przedmiot obejmuje ćwiczenia z następującego zakresu tematycznego:
Wymogi stawiane inżynierskim pracom dyplomowym. Własny wkład pracy. Zasady przygotowywania karty pracy dyplomowej. Ogólna struktura i zawartość poszczególnych części pracy dyplomowej. Zasady redagowania pracy dyplomowej. Reżim terminologiczny. Sformułowanie zadania, cel i zakres pracy dyplomowej. Przygotowywanie streszczeń. Odwołania do źródeł bibliograficznych. Przestrzeganie praw autorskich. Estetyka pracy dyplomowej. Zasady przeprowadzania egzaminu dyplomowego. Zasady prowadzenia dyskusji merytorycznej. Zasady przygotowania prezentacji pracy dyplomowej: liczba i układ slajdów, organizacja treści na slajdach, przejrzystość i komunikatywność. Zasady przedstawiania prezentacji dyplomowej.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prezentacji, aktywności studenta w ramach seminarium.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dobrana przez studenta w porozumieniu z promotorem pracy z zakresu związanego z tematem pracy dyplomowej.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1150-00000-IZP-0605_W1: </w:t>
      </w:r>
    </w:p>
    <w:p>
      <w:pPr/>
      <w:r>
        <w:rPr/>
        <w:t xml:space="preserve">Student, który zaliczył przedmiot zna zasady organizacji pracy dyplomowej inżynierskiej i prezentowania jej wyników w sposób przejrzysty i zrozumiały. Ma elementarną wiedzę w zakresie zarządzania zasobami własności intelektualnej i prawa patentowego.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T1A_W10,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1150-00000-IZP-0605_U1: </w:t>
      </w:r>
    </w:p>
    <w:p>
      <w:pPr/>
      <w:r>
        <w:rPr/>
        <w:t xml:space="preserve">Student umie zastosować w praktyce zasady dotyczące ochrony własności intelektualnej.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KMchtr_U01, KMchtr_U06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</w:t>
      </w:r>
    </w:p>
    <w:p>
      <w:pPr>
        <w:keepNext w:val="1"/>
        <w:spacing w:after="10"/>
      </w:pPr>
      <w:r>
        <w:rPr>
          <w:b/>
          <w:bCs/>
        </w:rPr>
        <w:t xml:space="preserve">Efekt 1150-00000-IZP-0605_U2: </w:t>
      </w:r>
    </w:p>
    <w:p>
      <w:pPr/>
      <w:r>
        <w:rPr/>
        <w:t xml:space="preserve">Student potrafi:
•	przeprowadzić analizę stanu wiedzy zalecanej na dany temat literatury naukowej i innych źródeł,
•	dokonać jego krytycznej oceny, sformułować wyniki  w formie krótkiego opracowania.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KMchtr_U01, KMchtr_U02, KMchtr_U03, KMchtr_U04, KMchtr_U06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T1A_U03, InzA_U02, T1A_U03, T1A_U04, T1A_U05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1150-00000-ISP-0605_K1: </w:t>
      </w:r>
    </w:p>
    <w:p>
      <w:pPr/>
      <w:r>
        <w:rPr/>
        <w:t xml:space="preserve">Ma świadomość roli absolwenta uczelni technicznej w przekazywaniu szerszemu gremium osiągnięć mechaniki i budowy maszyn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KMchtr_K02, KMchtr_K04, KMchtr_K06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InzA_K01, T1A_K03, T1A_K04, T1A_K07,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2024-05-06T19:27:03+02:00</dcterms:created>
  <dcterms:modified xsi:type="dcterms:W3CDTF">2024-05-06T19:27:03+02:00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