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(detektory fotoniczne, źródła promieniowania), 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 zaliczenia przedmiotu jest odbycie wszyskich zająć laboratoryjnych oraz uzyskanie z nich conajmniej oceny dostatecznej. Drugim warunkiem koniecznym jest oddanie i obronienie projektu. Ocena końcowa jest oceną ważoną z egzaminu i projektu 70/30.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T2A_W01, T2A_W04: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T2A_W01, T2A_W04, T2A_W07: </w:t>
      </w:r>
    </w:p>
    <w:p>
      <w:pPr/>
      <w:r>
        <w:rPr/>
        <w:t xml:space="preserve">Posiada wiedzę w zakresie metod i algorytmów wykrywania krawędzi i segmentacji krawędziowej; segmentacji obszarowej, analizy i segmentacji tekstur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wiedzę w zakresie metod analizy ruchu i estymacja ruchu, przepływ optycznego, metod0 dopasowania wzorców, śledzenia ruchu, analiza modeli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K_U08, K_U12,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T2A_U06, T2A_U08, T2A_U09,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Praca w grupie, umiejętność kreatywnego tworzenia nowych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2026-01-13T21:07:49+01:00</dcterms:created>
  <dcterms:modified xsi:type="dcterms:W3CDTF">2026-01-13T21:07:49+01:00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