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CS1A_06</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Ćwiczenia: liczba godzin według planu studiów - 15, przygotowanie do zajęć - 15, przygotowanie do kolokwium - 20; Razem - 125h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- 30, Ćwiczenia: liczba godzin według planu studiów - 15,  Razem - 45h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minimum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budowy materii.
</w:t>
      </w:r>
    </w:p>
    <w:p>
      <w:pPr>
        <w:keepNext w:val="1"/>
        <w:spacing w:after="10"/>
      </w:pPr>
      <w:r>
        <w:rPr>
          <w:b/>
          <w:bCs/>
        </w:rPr>
        <w:t xml:space="preserve">Treści kształcenia: </w:t>
      </w:r>
    </w:p>
    <w:p>
      <w:pPr>
        <w:spacing w:before="20" w:after="190"/>
      </w:pPr>
      <w:r>
        <w:rPr/>
        <w:t xml:space="preserve">W1-W15 Wstępne wiadomości o materii.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drobin  pierwiastków dodatkowych i poddodatkowych. Układy makroskopowe. Oddziaływania międzydrobinowe. Elementy opisu  stanu krystalicznego, gazowego i ciekłego materii.
Makroskopowe układy złożone. Granice międzyfazowe. Rozproszenie koloidalne i drobinowe. Równowagi jonowe w roztworach. 
C1-C15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drobin pierwiastków dodatkowych i poddodatkowych.
</w:t>
      </w:r>
    </w:p>
    <w:p>
      <w:pPr>
        <w:keepNext w:val="1"/>
        <w:spacing w:after="10"/>
      </w:pPr>
      <w:r>
        <w:rPr>
          <w:b/>
          <w:bCs/>
        </w:rPr>
        <w:t xml:space="preserve">Metody oceny: </w:t>
      </w:r>
    </w:p>
    <w:p>
      <w:pPr>
        <w:spacing w:before="20" w:after="190"/>
      </w:pPr>
      <w:r>
        <w:rPr/>
        <w:t xml:space="preserve">Obecność na wykładach wskazana. Na ocenę końcową skład się ocena z egzaminu pisemnego oraz ocena z ćwiczeń audytoryjnych. W przypadku ćwiczeń audytoryjnych przewidziane jest kolokwium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ogólna, PWN, Warszawa, 1969
2. Górski A.: Chemia, tom I, PWN, Warszawa, 1977
3. Bielański A.: Podstawy chemii nieorganicznej, tom I - III, PWN, Warszawa, 2005
4. Jones L., Atkins P.: Chemia Ogólna, cząsteczki, materia, reakcje, PWN,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o budowie materii oraz budowie i własciwościach układów mikro- i makroskopowych, niezbędną do rozwiązywania problemów inżynierskich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Dzięki wiedzy podstawowej dotyczącej więzi zewnątrz i wewnątrz drobinowej posiada umiejętność rozpoznawania właściwości fizykochemicznych substancji.</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Posiada umiejętność samokształecenia w zakresie chemii ogólnej.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U09_04: </w:t>
      </w:r>
    </w:p>
    <w:p>
      <w:pPr/>
      <w:r>
        <w:rPr/>
        <w:t xml:space="preserve">Potrafi wykorzystać zasady fizyczne i chemiczne oraz narzędzia matematyczne do rozwiązywania zadań związanych z podstawowymi prawami organizacji materii.</w:t>
      </w:r>
    </w:p>
    <w:p>
      <w:pPr>
        <w:spacing w:before="60"/>
      </w:pPr>
      <w:r>
        <w:rPr/>
        <w:t xml:space="preserve">Weryfikacja: </w:t>
      </w:r>
    </w:p>
    <w:p>
      <w:pPr>
        <w:spacing w:before="20" w:after="190"/>
      </w:pPr>
      <w:r>
        <w:rPr/>
        <w:t xml:space="preserve">Kolokwium (C1-C15)</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Posiada znajomość podstawowych praw chemicznych, znajomość zasad budowy materii i umiejętność wynikających z niej oceny właściwości fizykochemicznych oraz umiejętność doboru metod tej oceny.</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 zakresie rozszerzania wiedzy z chemii ogólnej pozwalającej w przyszłości rozwiązywać problemy technologiczne.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2026-07-30T02:30:26+02:00</dcterms:created>
  <dcterms:modified xsi:type="dcterms:W3CDTF">2026-07-30T02:30:26+02:00</dcterms:modified>
</cp:coreProperties>
</file>

<file path=docProps/custom.xml><?xml version="1.0" encoding="utf-8"?>
<Properties xmlns="http://schemas.openxmlformats.org/officeDocument/2006/custom-properties" xmlns:vt="http://schemas.openxmlformats.org/officeDocument/2006/docPropsVTypes"/>
</file>