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Włodarek,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MEKODR</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70 godz. = 3 ECTS:
ćwiczenia projektowe 45 godz. oraz przygotowanie projektu poza zajęciami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ćwiczenia projektowe 45 godz. oraz przygotowanie projektu poza zajęciami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zasad projektowania dróg.</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narzędzia).&lt;br&gt;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2010;&lt;br&gt;
[2] T. Zieliński, K. Jagodziński - InRoads XM Edition, wersja 8.9. Program do komputerowego wspomagania projektowania dróg, Warszawa, 2009;&lt;br&gt;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MEKODRW1: </w:t>
      </w:r>
    </w:p>
    <w:p>
      <w:pPr/>
      <w:r>
        <w:rPr/>
        <w:t xml:space="preserve">ma podstawową wiedzę dotyczącą wykorzystania oprogramowania wspomagajacego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MEKODRU1: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MEKODRK1: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2026-07-28T22:31:53+02:00</dcterms:created>
  <dcterms:modified xsi:type="dcterms:W3CDTF">2026-07-28T22:31:53+02:00</dcterms:modified>
</cp:coreProperties>
</file>

<file path=docProps/custom.xml><?xml version="1.0" encoding="utf-8"?>
<Properties xmlns="http://schemas.openxmlformats.org/officeDocument/2006/custom-properties" xmlns:vt="http://schemas.openxmlformats.org/officeDocument/2006/docPropsVTypes"/>
</file>